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7E" w:rsidRDefault="001F397E" w:rsidP="001F397E">
      <w:pPr>
        <w:pStyle w:val="a7"/>
        <w:shd w:val="clear" w:color="auto" w:fill="FFFFFF"/>
        <w:spacing w:before="0" w:beforeAutospacing="0" w:after="0" w:afterAutospacing="0" w:line="420" w:lineRule="atLeast"/>
        <w:rPr>
          <w:rStyle w:val="a8"/>
          <w:rFonts w:ascii="微软雅黑" w:eastAsia="微软雅黑" w:hAnsi="微软雅黑"/>
          <w:color w:val="333333"/>
          <w:spacing w:val="8"/>
          <w:sz w:val="32"/>
          <w:szCs w:val="32"/>
        </w:rPr>
      </w:pPr>
    </w:p>
    <w:p w:rsidR="0086603D" w:rsidRDefault="004C0E5D" w:rsidP="004C0E5D">
      <w:pPr>
        <w:pStyle w:val="a7"/>
        <w:shd w:val="clear" w:color="auto" w:fill="FFFFFF"/>
        <w:spacing w:before="0" w:beforeAutospacing="0" w:after="0" w:afterAutospacing="0" w:line="420" w:lineRule="atLeast"/>
        <w:jc w:val="center"/>
        <w:rPr>
          <w:rStyle w:val="a8"/>
          <w:rFonts w:ascii="微软雅黑" w:eastAsia="微软雅黑" w:hAnsi="微软雅黑"/>
          <w:color w:val="333333"/>
          <w:spacing w:val="8"/>
          <w:sz w:val="32"/>
          <w:szCs w:val="32"/>
        </w:rPr>
      </w:pPr>
      <w:r w:rsidRPr="001F397E">
        <w:rPr>
          <w:rStyle w:val="a8"/>
          <w:rFonts w:ascii="微软雅黑" w:eastAsia="微软雅黑" w:hAnsi="微软雅黑" w:hint="eastAsia"/>
          <w:color w:val="333333"/>
          <w:spacing w:val="8"/>
          <w:sz w:val="32"/>
          <w:szCs w:val="32"/>
        </w:rPr>
        <w:t>关于印发《法人金融机构洗钱和恐怖融资风险</w:t>
      </w:r>
    </w:p>
    <w:p w:rsidR="004C0E5D" w:rsidRPr="0086603D" w:rsidRDefault="004C0E5D" w:rsidP="0086603D">
      <w:pPr>
        <w:pStyle w:val="a7"/>
        <w:shd w:val="clear" w:color="auto" w:fill="FFFFFF"/>
        <w:spacing w:before="0" w:beforeAutospacing="0" w:after="0" w:afterAutospacing="0" w:line="420" w:lineRule="atLeast"/>
        <w:jc w:val="center"/>
        <w:rPr>
          <w:rFonts w:ascii="微软雅黑" w:eastAsia="微软雅黑" w:hAnsi="微软雅黑"/>
          <w:b/>
          <w:bCs/>
          <w:color w:val="333333"/>
          <w:spacing w:val="8"/>
          <w:sz w:val="32"/>
          <w:szCs w:val="32"/>
        </w:rPr>
      </w:pPr>
      <w:r w:rsidRPr="001F397E">
        <w:rPr>
          <w:rStyle w:val="a8"/>
          <w:rFonts w:ascii="微软雅黑" w:eastAsia="微软雅黑" w:hAnsi="微软雅黑" w:hint="eastAsia"/>
          <w:color w:val="333333"/>
          <w:spacing w:val="8"/>
          <w:sz w:val="32"/>
          <w:szCs w:val="32"/>
        </w:rPr>
        <w:t>管理指引（试行）》的通知</w:t>
      </w:r>
    </w:p>
    <w:p w:rsidR="004C0E5D" w:rsidRPr="004C0E5D" w:rsidRDefault="004C0E5D" w:rsidP="004C0E5D">
      <w:pPr>
        <w:pStyle w:val="a7"/>
        <w:shd w:val="clear" w:color="auto" w:fill="FFFFFF"/>
        <w:spacing w:before="0" w:beforeAutospacing="0" w:after="0" w:afterAutospacing="0" w:line="420" w:lineRule="atLeast"/>
        <w:jc w:val="center"/>
        <w:rPr>
          <w:rFonts w:ascii="微软雅黑" w:eastAsia="微软雅黑" w:hAnsi="微软雅黑"/>
          <w:color w:val="333333"/>
          <w:spacing w:val="8"/>
        </w:rPr>
      </w:pPr>
      <w:r w:rsidRPr="004C0E5D">
        <w:rPr>
          <w:rFonts w:ascii="微软雅黑" w:eastAsia="微软雅黑" w:hAnsi="微软雅黑" w:hint="eastAsia"/>
          <w:color w:val="333333"/>
          <w:spacing w:val="8"/>
        </w:rPr>
        <w:t>银反洗发〔2018〕19号</w:t>
      </w:r>
    </w:p>
    <w:p w:rsidR="001F397E" w:rsidRDefault="004F35BC" w:rsidP="001F397E">
      <w:pPr>
        <w:pStyle w:val="a7"/>
        <w:shd w:val="clear" w:color="auto" w:fill="FFFFFF"/>
        <w:spacing w:before="0" w:beforeAutospacing="0" w:after="0" w:afterAutospacing="0" w:line="332" w:lineRule="atLeast"/>
        <w:jc w:val="both"/>
        <w:rPr>
          <w:rFonts w:ascii="微软雅黑" w:eastAsia="微软雅黑" w:hAnsi="微软雅黑"/>
          <w:color w:val="333333"/>
          <w:spacing w:val="15"/>
        </w:rPr>
      </w:pPr>
      <w:r>
        <w:rPr>
          <w:rFonts w:ascii="微软雅黑" w:eastAsia="微软雅黑" w:hAnsi="微软雅黑"/>
          <w:noProof/>
          <w:color w:val="333333"/>
          <w:spacing w:val="8"/>
        </w:rPr>
        <w:pict>
          <v:line id="直接连接符 1" o:spid="_x0000_s1026" style="position:absolute;left:0;text-align:left;flip:y;z-index:251659264;visibility:visible" from=".6pt,7.8pt" to="416.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" strokecolor="red" strokeweight="1.75pt"/>
        </w:pict>
      </w:r>
    </w:p>
    <w:p w:rsidR="001F397E" w:rsidRDefault="001F397E" w:rsidP="001F397E">
      <w:pPr>
        <w:pStyle w:val="a7"/>
        <w:shd w:val="clear" w:color="auto" w:fill="FFFFFF"/>
        <w:spacing w:before="0" w:beforeAutospacing="0" w:after="0" w:afterAutospacing="0" w:line="332" w:lineRule="atLeast"/>
        <w:jc w:val="both"/>
        <w:rPr>
          <w:rFonts w:ascii="微软雅黑" w:eastAsia="微软雅黑" w:hAnsi="微软雅黑"/>
          <w:color w:val="333333"/>
          <w:spacing w:val="15"/>
        </w:rPr>
      </w:pPr>
    </w:p>
    <w:p w:rsidR="004C0E5D" w:rsidRPr="004C0E5D" w:rsidRDefault="004C0E5D" w:rsidP="00A33508">
      <w:pPr>
        <w:pStyle w:val="a7"/>
        <w:shd w:val="clear" w:color="auto" w:fill="FFFFFF"/>
        <w:spacing w:before="0" w:beforeAutospacing="0" w:after="0" w:afterAutospacing="0" w:line="332" w:lineRule="atLeast"/>
        <w:ind w:firstLineChars="200" w:firstLine="540"/>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中国人民银行上海总部金融服务二部，各分行、营业管理部，各省会（首府）城市中心支行，各副省级城市中心支行反洗钱处；各政策性银行、国有商业银行、股份制商业银行、中国邮政储蓄银行、中国银联、农信银资金清算中心、城市商业银行资金清算中心、中国人寿保险股份有限公司、中国人民财产保险股份有限公司、银河证券股份有限公司、中信证券股份有限公司反洗钱部门：</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为引导法人金融机构深入实践风险为本方法，落实《国务院办公厅关于完善反洗钱、反恐怖融资、反逃税监管体制机制的意见》，加强法人金融机构反洗钱和反恐怖融资工作，有效预防洗钱及相关违法犯罪活动，根据《中华人民共和国反洗钱法》、《中华人民共和国反恐怖主义法》《中华人民共和国中国人民银行法》等法律法规，中国人民银行反洗钱局制定了《法人金融机构洗钱和恐怖融资风险管理指引（试行）》（以下简称《指引》），现印发给你们，并就《指引》中有关事项通知如下，请遵照执行。</w:t>
      </w:r>
    </w:p>
    <w:p w:rsidR="004C0E5D" w:rsidRPr="004C0E5D" w:rsidRDefault="004C0E5D" w:rsidP="00F14AB1">
      <w:pPr>
        <w:pStyle w:val="a7"/>
        <w:shd w:val="clear" w:color="auto" w:fill="FFFFFF"/>
        <w:spacing w:before="0" w:beforeAutospacing="0" w:after="0" w:afterAutospacing="0" w:line="420" w:lineRule="atLeast"/>
        <w:ind w:firstLine="555"/>
        <w:jc w:val="both"/>
        <w:outlineLvl w:val="0"/>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一、金融机构工作安排</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lastRenderedPageBreak/>
        <w:t>（一）在2018年12月31日之前制定执行《指引》的工作方案，报中国人民银行反洗钱局或中国人民银行反洗钱局授权对该金融机构实施反洗钱监管的当地中国人民银行分支机构反洗钱部门。</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（二）考虑到非银行支付机构反洗钱工作起步较晚，适当给予其一定时限的制度执行过渡期，但不应晚于2019年7月1日前执行。</w:t>
      </w:r>
    </w:p>
    <w:p w:rsidR="004C0E5D" w:rsidRPr="004C0E5D" w:rsidRDefault="004C0E5D" w:rsidP="00F14AB1">
      <w:pPr>
        <w:pStyle w:val="a7"/>
        <w:shd w:val="clear" w:color="auto" w:fill="FFFFFF"/>
        <w:spacing w:before="0" w:beforeAutospacing="0" w:after="0" w:afterAutospacing="0" w:line="420" w:lineRule="atLeast"/>
        <w:ind w:firstLine="555"/>
        <w:jc w:val="both"/>
        <w:outlineLvl w:val="0"/>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二、监管工作要求</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（一）中国人民银行反洗钱局及分支机构反洗钱部门收到金融机构提交的工作方案及相关报告后，如有不同意见，应在30个工作日内向金融机构反馈。</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（二）中国人民银行反洗钱局及分支机构反洗钱部门应当将金融机构执行《指引》要求的</w:t>
      </w:r>
      <w:r w:rsidRPr="003E4550">
        <w:rPr>
          <w:rFonts w:ascii="微软雅黑" w:eastAsia="微软雅黑" w:hAnsi="微软雅黑" w:hint="eastAsia"/>
          <w:color w:val="333333"/>
          <w:spacing w:val="15"/>
        </w:rPr>
        <w:t>完善风险治理架构、制定洗钱风险管理策略</w:t>
      </w:r>
      <w:r w:rsidRPr="004C0E5D">
        <w:rPr>
          <w:rFonts w:ascii="微软雅黑" w:eastAsia="微软雅黑" w:hAnsi="微软雅黑" w:hint="eastAsia"/>
          <w:color w:val="333333"/>
          <w:spacing w:val="15"/>
        </w:rPr>
        <w:t>等情况，作为反洗钱监管重点。</w:t>
      </w:r>
    </w:p>
    <w:p w:rsidR="004C0E5D" w:rsidRPr="004C0E5D" w:rsidRDefault="004C0E5D" w:rsidP="00A8428E">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请中国人民银行上海总部，各分行、营业管理部，各省会（首府）城市中心支行，各副省级城市中心支行反洗钱处将本通知转发至总部注册地在辖区内的各城市商业银行、农村商业银行、农村合作银行、城市信用社、农村信用社、村镇银行、证券公司、期货经纪公司、</w:t>
      </w:r>
      <w:bookmarkStart w:id="0" w:name="_GoBack"/>
      <w:r w:rsidRPr="003E4550">
        <w:rPr>
          <w:rFonts w:ascii="微软雅黑" w:eastAsia="微软雅黑" w:hAnsi="微软雅黑" w:hint="eastAsia"/>
          <w:color w:val="333333"/>
          <w:spacing w:val="15"/>
        </w:rPr>
        <w:t>基金管理公司</w:t>
      </w:r>
      <w:r w:rsidRPr="004C0E5D">
        <w:rPr>
          <w:rFonts w:ascii="微软雅黑" w:eastAsia="微软雅黑" w:hAnsi="微软雅黑" w:hint="eastAsia"/>
          <w:color w:val="333333"/>
          <w:spacing w:val="15"/>
        </w:rPr>
        <w:t>、保险公司、保险资产管理公司、保险专业代理公司、保险经纪公司、信托公司、金融资产管理公司、企业集团财务公司、金融租赁</w:t>
      </w:r>
      <w:bookmarkEnd w:id="0"/>
      <w:r w:rsidRPr="004C0E5D">
        <w:rPr>
          <w:rFonts w:ascii="微软雅黑" w:eastAsia="微软雅黑" w:hAnsi="微软雅黑" w:hint="eastAsia"/>
          <w:color w:val="333333"/>
          <w:spacing w:val="15"/>
        </w:rPr>
        <w:t>公司、汽车金融公司、消费金融公司、货币经纪公司等金融机构和非银行支付机构反洗钱部门。</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附件</w:t>
      </w:r>
      <w:r>
        <w:rPr>
          <w:rFonts w:ascii="微软雅黑" w:eastAsia="微软雅黑" w:hAnsi="微软雅黑" w:hint="eastAsia"/>
          <w:color w:val="333333"/>
          <w:spacing w:val="15"/>
        </w:rPr>
        <w:t>：</w:t>
      </w:r>
      <w:r w:rsidRPr="004C0E5D">
        <w:rPr>
          <w:rFonts w:ascii="微软雅黑" w:eastAsia="微软雅黑" w:hAnsi="微软雅黑" w:hint="eastAsia"/>
          <w:color w:val="333333"/>
          <w:spacing w:val="15"/>
        </w:rPr>
        <w:t>法人金融机构洗钱和恐怖融资风险管理指引（试行）</w:t>
      </w:r>
    </w:p>
    <w:p w:rsidR="004C0E5D" w:rsidRPr="004C0E5D" w:rsidRDefault="004C0E5D" w:rsidP="004C0E5D">
      <w:pPr>
        <w:pStyle w:val="a7"/>
        <w:shd w:val="clear" w:color="auto" w:fill="FFFFFF"/>
        <w:spacing w:before="0" w:beforeAutospacing="0" w:after="0" w:afterAutospacing="0" w:line="420" w:lineRule="atLeast"/>
        <w:ind w:firstLine="555"/>
        <w:jc w:val="right"/>
        <w:rPr>
          <w:rFonts w:ascii="微软雅黑" w:eastAsia="微软雅黑" w:hAnsi="微软雅黑"/>
          <w:color w:val="333333"/>
          <w:spacing w:val="8"/>
        </w:rPr>
      </w:pPr>
      <w:r w:rsidRPr="004C0E5D">
        <w:rPr>
          <w:rFonts w:ascii="微软雅黑" w:eastAsia="微软雅黑" w:hAnsi="微软雅黑" w:hint="eastAsia"/>
          <w:color w:val="333333"/>
          <w:spacing w:val="15"/>
        </w:rPr>
        <w:t>中国人民行反洗钱局</w:t>
      </w:r>
    </w:p>
    <w:p w:rsidR="004C0E5D" w:rsidRPr="004C0E5D" w:rsidRDefault="004C0E5D" w:rsidP="004C0E5D">
      <w:pPr>
        <w:pStyle w:val="a7"/>
        <w:shd w:val="clear" w:color="auto" w:fill="FFFFFF"/>
        <w:spacing w:before="0" w:beforeAutospacing="0" w:after="0" w:afterAutospacing="0" w:line="420" w:lineRule="atLeast"/>
        <w:ind w:firstLine="555"/>
        <w:jc w:val="right"/>
        <w:rPr>
          <w:rFonts w:ascii="微软雅黑" w:eastAsia="微软雅黑" w:hAnsi="微软雅黑"/>
          <w:color w:val="333333"/>
          <w:spacing w:val="8"/>
        </w:rPr>
      </w:pPr>
      <w:r w:rsidRPr="004C0E5D">
        <w:rPr>
          <w:rFonts w:ascii="微软雅黑" w:eastAsia="微软雅黑" w:hAnsi="微软雅黑" w:hint="eastAsia"/>
          <w:color w:val="333333"/>
          <w:spacing w:val="15"/>
        </w:rPr>
        <w:lastRenderedPageBreak/>
        <w:t>2018年9月29日</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br w:type="page"/>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lastRenderedPageBreak/>
        <w:t>附件</w:t>
      </w:r>
    </w:p>
    <w:p w:rsidR="004C0E5D" w:rsidRPr="004C0E5D" w:rsidRDefault="004C0E5D" w:rsidP="004C0E5D">
      <w:pPr>
        <w:pStyle w:val="a7"/>
        <w:shd w:val="clear" w:color="auto" w:fill="FFFFFF"/>
        <w:spacing w:before="0" w:beforeAutospacing="0" w:after="0" w:afterAutospacing="0" w:line="420" w:lineRule="atLeast"/>
        <w:ind w:firstLine="555"/>
        <w:jc w:val="center"/>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法人金融机构洗钱和恐怖融资风险管理指引（试行）</w:t>
      </w:r>
    </w:p>
    <w:p w:rsidR="004C0E5D" w:rsidRPr="004C0E5D" w:rsidRDefault="004C0E5D" w:rsidP="004C0E5D">
      <w:pPr>
        <w:pStyle w:val="a7"/>
        <w:shd w:val="clear" w:color="auto" w:fill="FFFFFF"/>
        <w:spacing w:before="0" w:beforeAutospacing="0" w:after="0" w:afterAutospacing="0" w:line="420" w:lineRule="atLeast"/>
        <w:ind w:firstLine="555"/>
        <w:jc w:val="center"/>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第一章</w:t>
      </w:r>
      <w:r>
        <w:rPr>
          <w:rStyle w:val="apple-converted-space"/>
          <w:rFonts w:ascii="微软雅黑" w:eastAsia="微软雅黑" w:hAnsi="微软雅黑" w:hint="eastAsia"/>
          <w:b/>
          <w:bCs/>
          <w:color w:val="333333"/>
          <w:spacing w:val="15"/>
        </w:rPr>
        <w:t xml:space="preserve">  </w:t>
      </w:r>
      <w:r w:rsidRPr="004C0E5D">
        <w:rPr>
          <w:rStyle w:val="a8"/>
          <w:rFonts w:ascii="微软雅黑" w:eastAsia="微软雅黑" w:hAnsi="微软雅黑" w:hint="eastAsia"/>
          <w:color w:val="333333"/>
          <w:spacing w:val="15"/>
        </w:rPr>
        <w:t>总则</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第一条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为引导法人金融机构深入实践风险为本方法，落实《关于完善反洗钱、反恐怖融资、反逃税监管体制机制的意见》加强法人金融机构反洗钱和反恐怖融资工作，有效预防洗钱及相关违法犯罪活动，根据《中华人民共和国反洗钱法》、《中华人民共和国反恐怖主义法》《中华人民共和国中国人民银行法》等法律法规，制定本指引。</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本指引适用于在中华人民共和国境内依法设立的法人金融机构。</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第三条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应当高度重视洗钱、恐怖融资和扩散融资风险（以下统称洗钱风险）管理，充分认识在开展业务和经营管理过程中可能被违法犯罪活动利用而面临的洗钱风险。任何洗钱风险事件或案件的发生都可能带来严重的声誉风险和法律风险，并导致客户流失、业务损失和财务损失。</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第四条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有效的洗钱风险管理是法人金融机构安全、稳健运行的基础，法人金融机构及其全体员工</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勤勉尽责，牢固树立合规意识和风险意识，建立健全洗钱风险管理体系，按照风险为本方法，合理配置资源，对本机构洗钱风险进行</w:t>
      </w:r>
      <w:r w:rsidRPr="000F7899">
        <w:rPr>
          <w:rFonts w:ascii="微软雅黑" w:eastAsia="微软雅黑" w:hAnsi="微软雅黑" w:hint="eastAsia"/>
          <w:color w:val="333333"/>
          <w:spacing w:val="15"/>
        </w:rPr>
        <w:t>持续识别、审慎评估、有效控制及全程管理</w:t>
      </w:r>
      <w:r w:rsidRPr="004C0E5D">
        <w:rPr>
          <w:rFonts w:ascii="微软雅黑" w:eastAsia="微软雅黑" w:hAnsi="微软雅黑" w:hint="eastAsia"/>
          <w:color w:val="333333"/>
          <w:spacing w:val="15"/>
        </w:rPr>
        <w:t>，有效防范洗钱风险。</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lastRenderedPageBreak/>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考虑洗钱风险与声誉、法律、流动性等风险之间的关联性和传导性，审慎评估洗钱风险对声誉、运营、财务等方面的影响，防范洗钱风险传导与扩散。</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第五条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法人金融机构洗钱风险管理</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遵循以下主要原则:</w:t>
      </w:r>
    </w:p>
    <w:p w:rsidR="00B02875"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Fonts w:ascii="微软雅黑" w:eastAsia="微软雅黑" w:hAnsi="微软雅黑" w:hint="eastAsia"/>
          <w:color w:val="333333"/>
          <w:spacing w:val="15"/>
        </w:rPr>
        <w:t>（一）全面性原则。洗钱风险管理应当贯穿决策、执行和监督的全过程；覆盖各项业务活动和管理流程；覆盖所有境内外分支机构及相关附属机构，以及相关部门、岗位和人员。</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（二）独立性原则。洗钱风险管理应当在组织架构、制度、流程、人员安排、报告路线等方面保持独立性，对业务经营和管理决策保持合理制衡。</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（三）匹配性原则。洗钱风险管理资源投入应当与所处行业风险特征、管理模式、业务规模、产品复杂程度等因素相适应，并根据情况变化及时调整。</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（四）有效性原则。洗钱风险管理应当融入日常业务和经营管理，根据实际风险情况采取有针对性的控制措施，将洗钱风险控制在自身风险管理能力范围内。</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第六条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洗钱风险管理体系应当包括但不限于以下要素:</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（一）风险管理架构；</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（二）风险管理策略；</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（三）风险管理政策和程序；</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（四）信息系统、数据治理；</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（五）内部检查、审计、绩效考核和奖惩机制。</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lastRenderedPageBreak/>
        <w:t>第七条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积极建设洗钱风险管理文化，促进全体员工树立洗钱风险管理意识、坚持价值准则、恪守职业操守，营造主动管理、合规经营的良好文化氛围。</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第八条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中国人民银行及其分支机构依法对法人金融机构洗钱风险管理工作实施监督管理。</w:t>
      </w:r>
    </w:p>
    <w:p w:rsidR="004C0E5D" w:rsidRPr="004C0E5D" w:rsidRDefault="004C0E5D" w:rsidP="004C0E5D">
      <w:pPr>
        <w:pStyle w:val="a7"/>
        <w:shd w:val="clear" w:color="auto" w:fill="FFFFFF"/>
        <w:spacing w:before="0" w:beforeAutospacing="0" w:after="0" w:afterAutospacing="0" w:line="420" w:lineRule="atLeast"/>
        <w:ind w:firstLine="555"/>
        <w:jc w:val="center"/>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第二章</w:t>
      </w:r>
      <w:r w:rsidR="004370A6">
        <w:rPr>
          <w:rStyle w:val="apple-converted-space"/>
          <w:rFonts w:ascii="微软雅黑" w:eastAsia="微软雅黑" w:hAnsi="微软雅黑" w:hint="eastAsia"/>
          <w:b/>
          <w:bCs/>
          <w:color w:val="333333"/>
          <w:spacing w:val="15"/>
        </w:rPr>
        <w:t xml:space="preserve">  </w:t>
      </w:r>
      <w:r w:rsidRPr="004C0E5D">
        <w:rPr>
          <w:rStyle w:val="a8"/>
          <w:rFonts w:ascii="微软雅黑" w:eastAsia="微软雅黑" w:hAnsi="微软雅黑" w:hint="eastAsia"/>
          <w:color w:val="333333"/>
          <w:spacing w:val="15"/>
        </w:rPr>
        <w:t>风险管理架构</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第九条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组织健全、结构完整、职责明确的洗钱风险管理架构，规范董事会、监事会、高级管理层、业务部门、反洗钱管理部门、内部审计部门、人力资源部门、信息科技部门、境内外分支机构和相关附属机构在洗钱风险管理中的职责分工，建立层次清晰、相互协调、有效配合的运行机制。</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第十条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法人金融机构董事会承担洗钱风险管理的最终责任，主要履行以下职责:</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（一）确立洗钱风险管理文化建设目标；</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（二）审定洗钱风险管理策略；</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（三）审批洗钱风险管理的政策和程序；</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（四）授权高级管理人员牵头负责洗钱风险管理；</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（五）定期审阅反洗钱工作报告，及时了解重大洗钱风险事件及处理情况；</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（六）其他相关职。</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董事会可以授权下设的专业委员会履行其洗钱风险管理的部分职责。专业委员会负责向董事会提供洗钱风险管理专业意见。</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lastRenderedPageBreak/>
        <w:t>第十一条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法人金融机构监事会承担洗钱风险管理的监督责任，负责监督董事会和高级管理层在洗钱风险管理方面的履职尽责情况并督促整改，对法人金融机构的洗钱风险管理提出建议和意见。</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第十二条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法人金融机构高级管理层承担洗钱风险管理的实施责任，执行董事会决议，主要履行以下职责:</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（一）推动洗钱风险管理文化建设；</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（二）建立并及时调整洗钱风险管理组织架构，明确反洗钱管理部门、业务部门及其他部门在洗钱风险管理中的职责分工和协调机制；</w:t>
      </w:r>
    </w:p>
    <w:p w:rsidR="006418A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Fonts w:ascii="微软雅黑" w:eastAsia="微软雅黑" w:hAnsi="微软雅黑" w:hint="eastAsia"/>
          <w:color w:val="333333"/>
          <w:spacing w:val="15"/>
        </w:rPr>
        <w:t>（三）制定、调整洗钱风险管理策略及其执行机制；</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（四）审核洗钱风险管理政策和程序；</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（五）定期向董事会报告反洗钱工作情况，及时向董事会和监事会报告重大洗钱风险事件；</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（六）组织落实</w:t>
      </w:r>
      <w:r w:rsidRPr="000F7899">
        <w:rPr>
          <w:rFonts w:ascii="微软雅黑" w:eastAsia="微软雅黑" w:hAnsi="微软雅黑" w:hint="eastAsia"/>
          <w:color w:val="333333"/>
          <w:spacing w:val="15"/>
        </w:rPr>
        <w:t>反洗钱信息系统和数据治理</w:t>
      </w:r>
      <w:r w:rsidRPr="004C0E5D">
        <w:rPr>
          <w:rFonts w:ascii="微软雅黑" w:eastAsia="微软雅黑" w:hAnsi="微软雅黑" w:hint="eastAsia"/>
          <w:color w:val="333333"/>
          <w:spacing w:val="15"/>
        </w:rPr>
        <w:t>；</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（七）组织落实反洗钱绩效考核和奖惩机制；</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（八）根据董事会授权对违反洗钱风险管理政策和程序的情况进行处理；</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（九）其他相关职责。</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第十三条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任命或授权一名高级管理人员牵头负责洗钱风险管理工作，其有权独立开展工作，直接向董事会报告洗钱风险管理情况。法人金融机构应当确保其能够充分获取履职所需的权限和资源，避免可能影响其有效履职的利益冲突。</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lastRenderedPageBreak/>
        <w:t>牵头负责洗钱风险管理工作的高级管理人员应当具备较强的履职能力和职业操守，同时具有五年以上合规或风险管理工作经历，或者具有所在行业十年以上工作经历。法人金融机构任命上述高级管理人员，应当按照规定向中国人民银行或当地人民银行备案。</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第十四条</w:t>
      </w:r>
      <w:r w:rsidR="004370A6">
        <w:rPr>
          <w:rStyle w:val="apple-converted-space"/>
          <w:rFonts w:ascii="微软雅黑" w:eastAsia="微软雅黑" w:hAnsi="微软雅黑" w:hint="eastAsia"/>
          <w:b/>
          <w:bCs/>
          <w:color w:val="333333"/>
          <w:spacing w:val="15"/>
        </w:rPr>
        <w:t xml:space="preserve">  </w:t>
      </w:r>
      <w:r w:rsidRPr="000F7899">
        <w:rPr>
          <w:rFonts w:ascii="微软雅黑" w:eastAsia="微软雅黑" w:hAnsi="微软雅黑" w:hint="eastAsia"/>
          <w:color w:val="333333"/>
          <w:spacing w:val="15"/>
        </w:rPr>
        <w:t>反洗钱管理部门</w:t>
      </w:r>
      <w:r w:rsidRPr="004C0E5D">
        <w:rPr>
          <w:rFonts w:ascii="微软雅黑" w:eastAsia="微软雅黑" w:hAnsi="微软雅黑" w:hint="eastAsia"/>
          <w:color w:val="333333"/>
          <w:spacing w:val="15"/>
        </w:rPr>
        <w:t>牵头开展洗钱风险管理工作，推动落实各项反洗钱工作，主要履行以下职责:</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（一）制定起草洗钱风险管理政策和程序；</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（二）贯彻落实反洗钱法律法规和监管要求，建立健全反洗钱内部控制制度及内部检查机制；</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（三）识别、评估、监测本机构的洗钱风险，提出控制洗钱风险的措施和建议，及时向高级管理层报告；</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（四）持续检查洗钱风险管理策略及洗钱风险管理政策和程序的执行情况，对违反风险管理政策和程序的情况及时预警、报告并提出处理建议；</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（五）建立反洗钱工作协调机制，指导业务部门开展洗钱</w:t>
      </w:r>
      <w:r w:rsidR="00E376D2">
        <w:rPr>
          <w:rFonts w:ascii="微软雅黑" w:eastAsia="微软雅黑" w:hAnsi="微软雅黑" w:hint="eastAsia"/>
          <w:color w:val="333333"/>
          <w:spacing w:val="15"/>
        </w:rPr>
        <w:t>；</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（六）组织或协调各相关部门开展客户洗钱风险分类管理；</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（七）组织落实交易监测和名单监控的相关要求，按照规定报告大额交易和可疑交易；</w:t>
      </w:r>
    </w:p>
    <w:p w:rsidR="000866E2"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Fonts w:ascii="微软雅黑" w:eastAsia="微软雅黑" w:hAnsi="微软雅黑" w:hint="eastAsia"/>
          <w:color w:val="333333"/>
          <w:spacing w:val="15"/>
        </w:rPr>
        <w:t>（八）牵头配合反洗钱监管，协调配合反洗钱行政调查；</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（九）组织或协调相关部门开展反洗钱宣传和培训、建立健全反洗钱绩效考核和奖惩机制、建设完善反洗钱信息系统。</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lastRenderedPageBreak/>
        <w:t>第十五条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业务部门承担洗钱风险管理的直接责任，主要履行以下职责:</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（一）识别、评估、监测本业务条线的洗钱风险，及时向反洗钱管理部门报告；</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（二）建立相应的工作机制，将洗钱风险管理要求嵌入产品研发、流程设计、业务管理和具体操作；</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（三）开展或配合开展客户身份识别和客户洗钱风险分类管理，采取针对性的风险应对措施；</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（四）以业务（含产品、服务）的洗钱风险评估为基础，完善各项业务操作流程；</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（五）完整并妥善保存客户身份资料及交易记录；</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（六）开展或配合开展交易监测和名单监控，确保名单监控有效性，按照规定对相关资产和账户采取管控措施；</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（七）配合反洗钱监管和反洗钱行政调查工作；</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（八）开展本业务条线反洗钱工作检查；</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（九）开展本业务条线反洗钱宣传和培训；</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（十）配合反洗钱管理部门开展其他反洗钱工作。</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第十六条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第十四条</w:t>
      </w:r>
      <w:r w:rsidRPr="004C0E5D">
        <w:rPr>
          <w:rStyle w:val="apple-converted-space"/>
          <w:rFonts w:ascii="微软雅黑" w:eastAsia="微软雅黑" w:hAnsi="微软雅黑" w:hint="eastAsia"/>
          <w:color w:val="333333"/>
          <w:spacing w:val="15"/>
        </w:rPr>
        <w:t> </w:t>
      </w:r>
      <w:r w:rsidRPr="004C0E5D">
        <w:rPr>
          <w:rFonts w:ascii="微软雅黑" w:eastAsia="微软雅黑" w:hAnsi="微软雅黑" w:hint="eastAsia"/>
          <w:color w:val="333333"/>
          <w:spacing w:val="15"/>
        </w:rPr>
        <w:t> 、第十五条所述反洗钱工作职责、事项，涉及运营管理、风险管理、法律事务、财务会计、安全保卫等其他部门的，法人金融机构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就上述部门对相关工作的职责分工进行明确规定。</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lastRenderedPageBreak/>
        <w:t>第十七条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内部审计部门</w:t>
      </w:r>
      <w:r w:rsidRPr="000F7899">
        <w:rPr>
          <w:rFonts w:ascii="微软雅黑" w:eastAsia="微软雅黑" w:hAnsi="微软雅黑" w:hint="eastAsia"/>
          <w:color w:val="333333"/>
          <w:spacing w:val="15"/>
        </w:rPr>
        <w:t>负责</w:t>
      </w:r>
      <w:r w:rsidRPr="004C0E5D">
        <w:rPr>
          <w:rFonts w:ascii="微软雅黑" w:eastAsia="微软雅黑" w:hAnsi="微软雅黑" w:hint="eastAsia"/>
          <w:color w:val="333333"/>
          <w:spacing w:val="15"/>
        </w:rPr>
        <w:t>对反洗钱法律法规和监管要求的执行情况、内部控制制度的有效性和执行情况、洗钱风险管理情况进行独立、客观的审计评价。</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未设立审计部门的法人金融机构，应当明确相关工作由承担审计职能的其他部门承担，并保证相关工作的独立性。</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第十八条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人力资源部门</w:t>
      </w:r>
      <w:r w:rsidRPr="000F7899">
        <w:rPr>
          <w:rFonts w:ascii="微软雅黑" w:eastAsia="微软雅黑" w:hAnsi="微软雅黑" w:hint="eastAsia"/>
          <w:color w:val="333333"/>
          <w:spacing w:val="15"/>
        </w:rPr>
        <w:t>负责</w:t>
      </w:r>
      <w:r w:rsidRPr="004C0E5D">
        <w:rPr>
          <w:rFonts w:ascii="微软雅黑" w:eastAsia="微软雅黑" w:hAnsi="微软雅黑" w:hint="eastAsia"/>
          <w:color w:val="333333"/>
          <w:spacing w:val="15"/>
        </w:rPr>
        <w:t>洗钱风险管理的人力资源保障，结合洗钱风险管理需求，合理配置洗钱风险管理职位、职级和职数，选用符合标准的人员，建立反洗钱绩效考核和奖惩机制，为反洗钱宣导和培训提供支持。</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第十九条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信息科技部门</w:t>
      </w:r>
      <w:r w:rsidRPr="000F7899">
        <w:rPr>
          <w:rFonts w:ascii="微软雅黑" w:eastAsia="微软雅黑" w:hAnsi="微软雅黑" w:hint="eastAsia"/>
          <w:color w:val="333333"/>
          <w:spacing w:val="15"/>
        </w:rPr>
        <w:t>负责</w:t>
      </w:r>
      <w:r w:rsidRPr="004C0E5D">
        <w:rPr>
          <w:rFonts w:ascii="微软雅黑" w:eastAsia="微软雅黑" w:hAnsi="微软雅黑" w:hint="eastAsia"/>
          <w:color w:val="333333"/>
          <w:spacing w:val="15"/>
        </w:rPr>
        <w:t>反洗钱信息系统及相关系统的开发、日常维护及升级等工作，为洗钱风险管理提供必要的硬件设备和技术支持，根据相关数据安全和保密管理等监管要求，对客户、账户、交易信息及其他相关电子化信息进行保管和处理。</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法人金融机构应当加强对境内外分支机构和相关附属机构的管理指导和监督，采取必要措施保证洗钱风险管理</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政策和程序在境内外分支机构和相关附属机构得到充分理解与有效执行，保持洗钱风险管理的一致性和有效性。</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对于在境外设有分支机构或相关附属机构的法人金融机构，如果本指引的要求比所驻国家或地区的相关规定更为严格，但所驻国家或地区法律禁止或限制境外分支机构和相关附属机构实施本指引，法人金融机构应当采取适当的其他措施应对洗钱风险，并向中国人民银行报告。如</w:t>
      </w:r>
      <w:r w:rsidRPr="004C0E5D">
        <w:rPr>
          <w:rFonts w:ascii="微软雅黑" w:eastAsia="微软雅黑" w:hAnsi="微软雅黑" w:hint="eastAsia"/>
          <w:color w:val="333333"/>
          <w:spacing w:val="15"/>
        </w:rPr>
        <w:lastRenderedPageBreak/>
        <w:t>果其他措施无法有效控制风险，法人金融机构应当考虑在适当情况下关闭境外分支机构或相关附属机构。</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第二十一条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金融控股公司（集团）应当在集团层面实施统一的洗钱风险管理政策和程序，结合各专业公司的业务和产品特点，以客户为单位，建立适用于集团层面的可疑交易监测体系有效识别和应对跨市场、跨行业和跨机构的洗钱风险，防范洗钱风险在不同专业公司间的传导。</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第二十二条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反洗钱资源配置应当与其业务发展相匹配，配备充足的洗钱风险管理人员，其中:反洗钱管理部门应当配备专职洗钱风险管理岗位（反洗钱岗位）人员，业务部门、境内外分支机构及相关附属机构应当根据业务实际和洗钱风险状况配备专职或兼职洗钱风险管理岗位（反洗钱岗位）人员。法人金融机构应当从</w:t>
      </w:r>
      <w:r w:rsidRPr="000F7899">
        <w:rPr>
          <w:rFonts w:ascii="微软雅黑" w:eastAsia="微软雅黑" w:hAnsi="微软雅黑" w:hint="eastAsia"/>
          <w:color w:val="333333"/>
          <w:spacing w:val="15"/>
        </w:rPr>
        <w:t>制度建设</w:t>
      </w:r>
      <w:r w:rsidRPr="004C0E5D">
        <w:rPr>
          <w:rFonts w:ascii="微软雅黑" w:eastAsia="微软雅黑" w:hAnsi="微软雅黑" w:hint="eastAsia"/>
          <w:color w:val="333333"/>
          <w:spacing w:val="15"/>
        </w:rPr>
        <w:t>、</w:t>
      </w:r>
      <w:r w:rsidRPr="000F7899">
        <w:rPr>
          <w:rFonts w:ascii="微软雅黑" w:eastAsia="微软雅黑" w:hAnsi="微软雅黑" w:hint="eastAsia"/>
          <w:color w:val="333333"/>
          <w:spacing w:val="15"/>
        </w:rPr>
        <w:t>业务审核</w:t>
      </w:r>
      <w:r w:rsidRPr="004C0E5D">
        <w:rPr>
          <w:rFonts w:ascii="微软雅黑" w:eastAsia="微软雅黑" w:hAnsi="微软雅黑" w:hint="eastAsia"/>
          <w:color w:val="333333"/>
          <w:spacing w:val="15"/>
        </w:rPr>
        <w:t>、</w:t>
      </w:r>
      <w:r w:rsidRPr="000F7899">
        <w:rPr>
          <w:rFonts w:ascii="微软雅黑" w:eastAsia="微软雅黑" w:hAnsi="微软雅黑" w:hint="eastAsia"/>
          <w:color w:val="333333"/>
          <w:spacing w:val="15"/>
        </w:rPr>
        <w:t>风险评估</w:t>
      </w:r>
      <w:r w:rsidRPr="004C0E5D">
        <w:rPr>
          <w:rFonts w:ascii="微软雅黑" w:eastAsia="微软雅黑" w:hAnsi="微软雅黑" w:hint="eastAsia"/>
          <w:color w:val="333333"/>
          <w:spacing w:val="15"/>
        </w:rPr>
        <w:t>、</w:t>
      </w:r>
      <w:r w:rsidRPr="000F7899">
        <w:rPr>
          <w:rFonts w:ascii="微软雅黑" w:eastAsia="微软雅黑" w:hAnsi="微软雅黑" w:hint="eastAsia"/>
          <w:color w:val="333333"/>
          <w:spacing w:val="15"/>
        </w:rPr>
        <w:t>系统建设</w:t>
      </w:r>
      <w:r w:rsidRPr="004C0E5D">
        <w:rPr>
          <w:rFonts w:ascii="微软雅黑" w:eastAsia="微软雅黑" w:hAnsi="微软雅黑" w:hint="eastAsia"/>
          <w:color w:val="333333"/>
          <w:spacing w:val="15"/>
        </w:rPr>
        <w:t>、</w:t>
      </w:r>
      <w:r w:rsidRPr="000F7899">
        <w:rPr>
          <w:rFonts w:ascii="微软雅黑" w:eastAsia="微软雅黑" w:hAnsi="微软雅黑" w:hint="eastAsia"/>
          <w:color w:val="333333"/>
          <w:spacing w:val="15"/>
        </w:rPr>
        <w:t>监测分析</w:t>
      </w:r>
      <w:r w:rsidRPr="004C0E5D">
        <w:rPr>
          <w:rFonts w:ascii="微软雅黑" w:eastAsia="微软雅黑" w:hAnsi="微软雅黑" w:hint="eastAsia"/>
          <w:color w:val="333333"/>
          <w:spacing w:val="15"/>
        </w:rPr>
        <w:t>、</w:t>
      </w:r>
      <w:r w:rsidRPr="000F7899">
        <w:rPr>
          <w:rFonts w:ascii="微软雅黑" w:eastAsia="微软雅黑" w:hAnsi="微软雅黑" w:hint="eastAsia"/>
          <w:color w:val="333333"/>
          <w:spacing w:val="15"/>
        </w:rPr>
        <w:t>合规制裁</w:t>
      </w:r>
      <w:r w:rsidRPr="004C0E5D">
        <w:rPr>
          <w:rFonts w:ascii="微软雅黑" w:eastAsia="微软雅黑" w:hAnsi="微软雅黑" w:hint="eastAsia"/>
          <w:color w:val="333333"/>
          <w:spacing w:val="15"/>
        </w:rPr>
        <w:t>、</w:t>
      </w:r>
      <w:r w:rsidRPr="000F7899">
        <w:rPr>
          <w:rFonts w:ascii="微软雅黑" w:eastAsia="微软雅黑" w:hAnsi="微软雅黑" w:hint="eastAsia"/>
          <w:color w:val="333333"/>
          <w:spacing w:val="15"/>
        </w:rPr>
        <w:t>案件管理</w:t>
      </w:r>
      <w:r w:rsidRPr="004C0E5D">
        <w:rPr>
          <w:rFonts w:ascii="微软雅黑" w:eastAsia="微软雅黑" w:hAnsi="微软雅黑" w:hint="eastAsia"/>
          <w:color w:val="333333"/>
          <w:spacing w:val="15"/>
        </w:rPr>
        <w:t>等角度</w:t>
      </w:r>
      <w:r w:rsidRPr="000F7899">
        <w:rPr>
          <w:rFonts w:ascii="微软雅黑" w:eastAsia="微软雅黑" w:hAnsi="微软雅黑" w:hint="eastAsia"/>
          <w:color w:val="333333"/>
          <w:spacing w:val="15"/>
        </w:rPr>
        <w:t>细分洗钱风险管理岗位（反洗钱岗位）</w:t>
      </w:r>
      <w:r w:rsidRPr="004C0E5D">
        <w:rPr>
          <w:rFonts w:ascii="微软雅黑" w:eastAsia="微软雅黑" w:hAnsi="微软雅黑" w:hint="eastAsia"/>
          <w:color w:val="333333"/>
          <w:spacing w:val="15"/>
        </w:rPr>
        <w:t>。洗钱风险管理岗位（反洗钱岗位）职级不得低于法人金融机构其他风险管理岗位职级，不得将洗钱风险管理岗位（反洗钱岗位）简单设置为操作类岗位或外包。从事监测分析工作的人员配备应当与本机构的可疑交易甄别分析工作量相匹配。专职人员应当具有三年以上金融行业从业经历，专职人员和兼职人员均应当具备必要的履职能力和职业操守。</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法人金融机构有条件配备专职人员的，不得以兼职人员替代专职人员。兼职人员占全部洗钱风险管理人员的比例不得高于80％</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第二十三条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法人金融机构在聘用员工、任命或授权高级管理人员、选用洗钱风险管理人员、引入战略投资者或在主要股东和控股股东入股</w:t>
      </w:r>
      <w:r w:rsidRPr="004C0E5D">
        <w:rPr>
          <w:rFonts w:ascii="微软雅黑" w:eastAsia="微软雅黑" w:hAnsi="微软雅黑" w:hint="eastAsia"/>
          <w:color w:val="333333"/>
          <w:spacing w:val="15"/>
        </w:rPr>
        <w:lastRenderedPageBreak/>
        <w:t>之前，</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对其是否涉及刑事犯罪、是否存在其他犯罪记录及过往履职经历等情况进行充分的背景调查，评估可能存在的洗钱风险。</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第二十四条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赋予反洗钱管理部门、业务部门、审计部门等部门及洗钱风险管理人员充足的资源和授权，在组织架构、管理流程等方面确保其工作履职的独立性，保证其能够及时获得洗钱风险管理所需的数据和信息，满足履行洗钱风险管理职责的需要。</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第二十五条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持续开展各类反洗钱宣传和培训，促进洗钱风险管理文化得到充分传导，全面提高全体员工的反洗钱知识、技能和意识，确保全体员工能够适应所在岗位的反洗钱履职需要。</w:t>
      </w:r>
    </w:p>
    <w:p w:rsidR="004C0E5D" w:rsidRPr="004C0E5D" w:rsidRDefault="004C0E5D" w:rsidP="004C0E5D">
      <w:pPr>
        <w:pStyle w:val="a7"/>
        <w:shd w:val="clear" w:color="auto" w:fill="FFFFFF"/>
        <w:spacing w:before="0" w:beforeAutospacing="0" w:after="0" w:afterAutospacing="0" w:line="420" w:lineRule="atLeast"/>
        <w:ind w:firstLine="555"/>
        <w:jc w:val="center"/>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第三章</w:t>
      </w:r>
      <w:r w:rsidR="004370A6">
        <w:rPr>
          <w:rStyle w:val="apple-converted-space"/>
          <w:rFonts w:ascii="微软雅黑" w:eastAsia="微软雅黑" w:hAnsi="微软雅黑" w:hint="eastAsia"/>
          <w:b/>
          <w:bCs/>
          <w:color w:val="333333"/>
          <w:spacing w:val="15"/>
        </w:rPr>
        <w:t xml:space="preserve">  </w:t>
      </w:r>
      <w:r w:rsidRPr="004C0E5D">
        <w:rPr>
          <w:rStyle w:val="a8"/>
          <w:rFonts w:ascii="微软雅黑" w:eastAsia="微软雅黑" w:hAnsi="微软雅黑" w:hint="eastAsia"/>
          <w:color w:val="333333"/>
          <w:spacing w:val="15"/>
        </w:rPr>
        <w:t>风险管理策略</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第二十六条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制定科学、清晰、可行的洗钱风险管理策略，完善相关制度和工作机制，合理配置、统筹安排人员、资金、系统等反洗钱资源，并定期评估其有效性。洗钱风险管理策略应当根据洗钱风险状况及市场变化及时进行调整。</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第二十七条</w:t>
      </w:r>
      <w:r w:rsidR="004370A6">
        <w:rPr>
          <w:rStyle w:val="a8"/>
          <w:rFonts w:ascii="微软雅黑" w:eastAsia="微软雅黑" w:hAnsi="微软雅黑" w:hint="eastAsia"/>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在建设全面风险管理文化、制定全面风险管理策略、制定全面风险管理政策和程序时统筹考虑洗钱风险管理，将洗钱风险纳入全面风险管理体系。洗钱风险管理策略应当与其全面风险管理策略相适应。</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第二十八条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按照风险为本方法制定洗钱风险管理策略，在识别和评估洗钱风险的基础上，针对风险较低的情形，采取</w:t>
      </w:r>
      <w:r w:rsidRPr="000F7899">
        <w:rPr>
          <w:rFonts w:ascii="微软雅黑" w:eastAsia="微软雅黑" w:hAnsi="微软雅黑" w:hint="eastAsia"/>
          <w:color w:val="333333"/>
          <w:spacing w:val="15"/>
        </w:rPr>
        <w:t>简化的风险控制</w:t>
      </w:r>
      <w:r w:rsidRPr="004C0E5D">
        <w:rPr>
          <w:rFonts w:ascii="微软雅黑" w:eastAsia="微软雅黑" w:hAnsi="微软雅黑" w:hint="eastAsia"/>
          <w:color w:val="333333"/>
          <w:spacing w:val="15"/>
        </w:rPr>
        <w:t>措施；针对风险较高的情形，采取</w:t>
      </w:r>
      <w:r w:rsidRPr="000F7899">
        <w:rPr>
          <w:rFonts w:ascii="微软雅黑" w:eastAsia="微软雅黑" w:hAnsi="微软雅黑" w:hint="eastAsia"/>
          <w:color w:val="333333"/>
          <w:spacing w:val="15"/>
        </w:rPr>
        <w:t>强化的风险控制措施</w:t>
      </w:r>
      <w:r w:rsidRPr="004C0E5D">
        <w:rPr>
          <w:rFonts w:ascii="微软雅黑" w:eastAsia="微软雅黑" w:hAnsi="微软雅黑" w:hint="eastAsia"/>
          <w:color w:val="333333"/>
          <w:spacing w:val="15"/>
        </w:rPr>
        <w:t>；超出机构风险控制能力的，不得与客户建立业务关系或进行交易，</w:t>
      </w:r>
      <w:r w:rsidRPr="004C0E5D">
        <w:rPr>
          <w:rFonts w:ascii="微软雅黑" w:eastAsia="微软雅黑" w:hAnsi="微软雅黑" w:hint="eastAsia"/>
          <w:color w:val="333333"/>
          <w:spacing w:val="15"/>
        </w:rPr>
        <w:lastRenderedPageBreak/>
        <w:t>已经建立业务关系的，应当中止交易并考虑提交可疑交易报告，必要时终止业务关系。</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第二十九条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法人金融机构应当积极开展</w:t>
      </w:r>
      <w:r w:rsidRPr="000F7899">
        <w:rPr>
          <w:rFonts w:ascii="微软雅黑" w:eastAsia="微软雅黑" w:hAnsi="微软雅黑" w:hint="eastAsia"/>
          <w:color w:val="333333"/>
          <w:spacing w:val="15"/>
        </w:rPr>
        <w:t>普惠金融工作</w:t>
      </w:r>
      <w:r w:rsidRPr="004C0E5D">
        <w:rPr>
          <w:rFonts w:ascii="微软雅黑" w:eastAsia="微软雅黑" w:hAnsi="微软雅黑" w:hint="eastAsia"/>
          <w:color w:val="333333"/>
          <w:spacing w:val="15"/>
        </w:rPr>
        <w:t>，根据本机构业务实际、客户的群体属性、洗钱风险评估结果和监管部门的要求，在有效管理洗钱风险的基础上，采取合理的客户身份识别措施，为社会不同群体提供差异化、有针对性的金融服务。</w:t>
      </w:r>
    </w:p>
    <w:p w:rsidR="004C0E5D" w:rsidRPr="004C0E5D" w:rsidRDefault="004C0E5D" w:rsidP="004C0E5D">
      <w:pPr>
        <w:pStyle w:val="a7"/>
        <w:shd w:val="clear" w:color="auto" w:fill="FFFFFF"/>
        <w:spacing w:before="0" w:beforeAutospacing="0" w:after="0" w:afterAutospacing="0" w:line="420" w:lineRule="atLeast"/>
        <w:ind w:firstLine="555"/>
        <w:jc w:val="center"/>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第四章</w:t>
      </w:r>
      <w:r w:rsidR="004370A6">
        <w:rPr>
          <w:rStyle w:val="apple-converted-space"/>
          <w:rFonts w:ascii="微软雅黑" w:eastAsia="微软雅黑" w:hAnsi="微软雅黑" w:hint="eastAsia"/>
          <w:b/>
          <w:bCs/>
          <w:color w:val="333333"/>
          <w:spacing w:val="15"/>
        </w:rPr>
        <w:t xml:space="preserve">  </w:t>
      </w:r>
      <w:r w:rsidRPr="004C0E5D">
        <w:rPr>
          <w:rStyle w:val="a8"/>
          <w:rFonts w:ascii="微软雅黑" w:eastAsia="微软雅黑" w:hAnsi="微软雅黑" w:hint="eastAsia"/>
          <w:color w:val="333333"/>
          <w:spacing w:val="15"/>
        </w:rPr>
        <w:t>风险管理</w:t>
      </w:r>
      <w:r w:rsidRPr="000F7899">
        <w:rPr>
          <w:rStyle w:val="a8"/>
          <w:rFonts w:ascii="微软雅黑" w:eastAsia="微软雅黑" w:hAnsi="微软雅黑" w:hint="eastAsia"/>
          <w:color w:val="333333"/>
          <w:spacing w:val="15"/>
        </w:rPr>
        <w:t>政策和程序</w:t>
      </w:r>
      <w:r w:rsidRPr="004C0E5D">
        <w:rPr>
          <w:rStyle w:val="a8"/>
          <w:rFonts w:ascii="微软雅黑" w:eastAsia="微软雅黑" w:hAnsi="微软雅黑" w:hint="eastAsia"/>
          <w:color w:val="333333"/>
          <w:spacing w:val="15"/>
        </w:rPr>
        <w:t>一—方法</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第三十条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制定洗钱风险管理政策和程序，包括但不限于反洗钱内部控制制度（含流程、操作指引）；洗钱风险管理的方法；应急计划；反洗钱措施；信息保密和信息共享。</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Style w:val="a8"/>
          <w:rFonts w:ascii="微软雅黑" w:eastAsia="微软雅黑" w:hAnsi="微软雅黑" w:hint="eastAsia"/>
          <w:color w:val="333333"/>
          <w:spacing w:val="15"/>
        </w:rPr>
        <w:t>第三十一条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建立健全反洗钱内部控制制度，加强统一管理，规范制度制定和审批程序，明确发文种类、层级和对象。</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反洗钱内部控制制度</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全面覆盖反洗钱法律法规和监管要求，并与本机构业务实际相适应。在反洗钱法律法规、监管要求或业务发展情况发生变化时，法人金融机构应当及时更新反洗钱内部控制制度。</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第三十二条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洗钱风险识别与评估是有效的洗钱风险管理的基础。法人金融机构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建立洗钱风险评估制度，对本机构内外部洗钱风险进行分析研判，评估本机构风险控制机制的有效性，查找风险漏洞和薄弱环节，有效运用评估结果，合理配置反洗钱资源，采取有针对性的风险控制措施。</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lastRenderedPageBreak/>
        <w:t>评估结果的运用包括但不限于以下方面:调整经营策略、发布风险提示、完善制度流程、增强资源投入、加强账户管理和交易监测、强化名单监控、严格内部检查和审计等。</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法人金融机构应当确保洗钱风险评估的流程具有可稽核性或可追溯性，并对洗钱风险评估的流程和方法进行定期审查和调整。</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法人金融机构可以在充分论证可行性的基础上委托独立第三方开展风险评估。</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第三十三条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法人金融机构在广泛收集信息的基础上，采取定性与定量分析相结合的方法，</w:t>
      </w:r>
      <w:r w:rsidRPr="000F7899">
        <w:rPr>
          <w:rFonts w:ascii="微软雅黑" w:eastAsia="微软雅黑" w:hAnsi="微软雅黑" w:hint="eastAsia"/>
          <w:color w:val="333333"/>
          <w:spacing w:val="15"/>
        </w:rPr>
        <w:t>建立洗钱风险评估指标体系和模型</w:t>
      </w:r>
      <w:r w:rsidRPr="004C0E5D">
        <w:rPr>
          <w:rFonts w:ascii="微软雅黑" w:eastAsia="微软雅黑" w:hAnsi="微软雅黑" w:hint="eastAsia"/>
          <w:color w:val="333333"/>
          <w:spacing w:val="15"/>
        </w:rPr>
        <w:t>对洗钱风险进行识别和评估。</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第三十四条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根据风险评估需要，</w:t>
      </w:r>
      <w:r w:rsidRPr="000F7899">
        <w:rPr>
          <w:rFonts w:ascii="微软雅黑" w:eastAsia="微软雅黑" w:hAnsi="微软雅黑" w:hint="eastAsia"/>
          <w:color w:val="333333"/>
          <w:spacing w:val="15"/>
        </w:rPr>
        <w:t>统筹确定各类信息的来源及其采集方法</w:t>
      </w:r>
      <w:r w:rsidRPr="004C0E5D">
        <w:rPr>
          <w:rFonts w:ascii="微软雅黑" w:eastAsia="微软雅黑" w:hAnsi="微软雅黑" w:hint="eastAsia"/>
          <w:color w:val="333333"/>
          <w:spacing w:val="15"/>
        </w:rPr>
        <w:t>。</w:t>
      </w:r>
      <w:r w:rsidRPr="000F7899">
        <w:rPr>
          <w:rFonts w:ascii="微软雅黑" w:eastAsia="微软雅黑" w:hAnsi="微软雅黑" w:hint="eastAsia"/>
          <w:color w:val="333333"/>
          <w:spacing w:val="15"/>
        </w:rPr>
        <w:t>信息</w:t>
      </w:r>
      <w:r w:rsidRPr="004C0E5D">
        <w:rPr>
          <w:rFonts w:ascii="微软雅黑" w:eastAsia="微软雅黑" w:hAnsi="微软雅黑" w:hint="eastAsia"/>
          <w:color w:val="333333"/>
          <w:spacing w:val="15"/>
        </w:rPr>
        <w:t>来源应当考虑国家、行业、客户、地域、机构等方面，包括但不限于以下</w:t>
      </w:r>
      <w:r w:rsidRPr="000F7899">
        <w:rPr>
          <w:rFonts w:ascii="微软雅黑" w:eastAsia="微软雅黑" w:hAnsi="微软雅黑" w:hint="eastAsia"/>
          <w:color w:val="333333"/>
          <w:spacing w:val="15"/>
        </w:rPr>
        <w:t>来源</w:t>
      </w:r>
      <w:r w:rsidRPr="004C0E5D">
        <w:rPr>
          <w:rFonts w:ascii="微软雅黑" w:eastAsia="微软雅黑" w:hAnsi="微软雅黑" w:hint="eastAsia"/>
          <w:color w:val="333333"/>
          <w:spacing w:val="15"/>
        </w:rPr>
        <w:t>:</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一）金融行动特别工作组（FATF）、亚太反洗钱组织（APG）、欧亚反洗钱与反恐融资组织（EAG）、巴塞尔银行监管委员会（BIS）、国际证券监管委员会组织（IOSCO）、国际保险监督官协会（IAIS）等国际组织、国家和行业的风险评估报告、研究成果、形势分析、工作数据等</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（二）国家相关部门通报的上游犯罪形势、案例或监管信息；</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（三）中国人民银行、银保监会、证监会、外汇局等金融监管部门发布的洗钱风险提示和业务风险提示；</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lastRenderedPageBreak/>
        <w:t>（四）在与客户建立业务关系时和业务关系存续期间，客户披露的信息、客户经理或柜面人员工作记录、保存的交易记录、委托其他金融机构或第三方对客户进行尽职调查工作所获取的合法信息；</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（五）内部管理或业务流程中获取的信息，包括内部审计结果。</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法人金融机构应当将信息采集嵌入相应业务流程，由各业务条线工作人员依据岗位职责、权限设置等开展信息采集。必要时通过问卷调查等方式，开展针对性的信息采集</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Style w:val="a8"/>
          <w:rFonts w:ascii="微软雅黑" w:eastAsia="微软雅黑" w:hAnsi="微软雅黑" w:hint="eastAsia"/>
          <w:color w:val="333333"/>
          <w:spacing w:val="15"/>
        </w:rPr>
        <w:t>第三十五条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从国家/地域、客户及业务（含产品、服务）等维度进行综合考虑，确立风险因素，设置风险评估指标。</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0F7899">
        <w:rPr>
          <w:rFonts w:ascii="微软雅黑" w:eastAsia="微软雅黑" w:hAnsi="微软雅黑" w:hint="eastAsia"/>
          <w:color w:val="333333"/>
          <w:spacing w:val="15"/>
        </w:rPr>
        <w:t>国家/地域</w:t>
      </w:r>
      <w:r w:rsidRPr="004C0E5D">
        <w:rPr>
          <w:rFonts w:ascii="微软雅黑" w:eastAsia="微软雅黑" w:hAnsi="微软雅黑" w:hint="eastAsia"/>
          <w:color w:val="333333"/>
          <w:spacing w:val="15"/>
        </w:rPr>
        <w:t>风险因素应当考虑:1.在</w:t>
      </w:r>
      <w:r w:rsidRPr="000F7899">
        <w:rPr>
          <w:rFonts w:ascii="微软雅黑" w:eastAsia="微软雅黑" w:hAnsi="微软雅黑" w:hint="eastAsia"/>
          <w:color w:val="333333"/>
          <w:spacing w:val="15"/>
        </w:rPr>
        <w:t>高风险国家（地区）</w:t>
      </w:r>
      <w:r w:rsidRPr="004C0E5D">
        <w:rPr>
          <w:rFonts w:ascii="微软雅黑" w:eastAsia="微软雅黑" w:hAnsi="微软雅黑" w:hint="eastAsia"/>
          <w:color w:val="333333"/>
          <w:spacing w:val="15"/>
        </w:rPr>
        <w:t>设立境外分支机构情况；2.交易对手或对方金融机构涉及高风险国家（地区）情况；3.境外分支机构数量及地域分布情况；4.高风险国家（地区）经营收入占比等。</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0F7899">
        <w:rPr>
          <w:rFonts w:ascii="微软雅黑" w:eastAsia="微软雅黑" w:hAnsi="微软雅黑" w:hint="eastAsia"/>
          <w:color w:val="333333"/>
          <w:spacing w:val="15"/>
        </w:rPr>
        <w:t>客户风险</w:t>
      </w:r>
      <w:r w:rsidRPr="004C0E5D">
        <w:rPr>
          <w:rFonts w:ascii="微软雅黑" w:eastAsia="微软雅黑" w:hAnsi="微软雅黑" w:hint="eastAsia"/>
          <w:color w:val="333333"/>
          <w:spacing w:val="15"/>
        </w:rPr>
        <w:t>因素应当考虑:1.非居民客户数量占比；2.离岸客户数量占比；3.政治公众人物客户数量占比；4.使用不可核查证件开户客户数量占比；5.职业不明确客户数量占比；6.高风险职业（行业）客户数量占比；7.由第三方代理建立业务关系客户数量占比；8.来自高风险国家（地区）的客户情况；9.被国家机关调查的客户情况等。</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0F7899">
        <w:rPr>
          <w:rFonts w:ascii="微软雅黑" w:eastAsia="微软雅黑" w:hAnsi="微软雅黑" w:hint="eastAsia"/>
          <w:color w:val="333333"/>
          <w:spacing w:val="15"/>
        </w:rPr>
        <w:t>业务（含产品、服务）风险</w:t>
      </w:r>
      <w:r w:rsidRPr="004C0E5D">
        <w:rPr>
          <w:rFonts w:ascii="微软雅黑" w:eastAsia="微软雅黑" w:hAnsi="微软雅黑" w:hint="eastAsia"/>
          <w:color w:val="333333"/>
          <w:spacing w:val="15"/>
        </w:rPr>
        <w:t>因素应当考虑:1.现金交易情况；2.非面对面交易情况；3.跨境交易情况；4.代理交易情况；5.公转私交易情况；6.私人银行业务情况；7.特约商户业务情况；8.一次性交易情况；9.通</w:t>
      </w:r>
      <w:r w:rsidRPr="004C0E5D">
        <w:rPr>
          <w:rFonts w:ascii="微软雅黑" w:eastAsia="微软雅黑" w:hAnsi="微软雅黑" w:hint="eastAsia"/>
          <w:color w:val="333333"/>
          <w:spacing w:val="15"/>
        </w:rPr>
        <w:lastRenderedPageBreak/>
        <w:t>道类资产管理业务情况；10.场外交易情况:11.大宗交易情况；12.新三板协议转让业务；13.场外衍生品业务；14.保单贷款业务等。</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w:t>
      </w:r>
      <w:r w:rsidRPr="004C0E5D">
        <w:rPr>
          <w:rFonts w:ascii="微软雅黑" w:eastAsia="微软雅黑" w:hAnsi="微软雅黑" w:hint="eastAsia"/>
          <w:color w:val="333333"/>
          <w:spacing w:val="15"/>
        </w:rPr>
        <w:t>从制度体系、组织架构和洗钱风险管理文化的建设情况、洗钱风险管理策略、风险评估制度和风险控制措施的制定和执行情况等维度进行综合考虑，设置风险控制措施有效性的评估指标。</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评估指标的具体比重及分值设置由法人金融机构根据有效的洗钱风险管理需要自主确定。</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Style w:val="a8"/>
          <w:rFonts w:ascii="微软雅黑" w:eastAsia="微软雅黑" w:hAnsi="微软雅黑" w:hint="eastAsia"/>
          <w:color w:val="333333"/>
          <w:spacing w:val="15"/>
        </w:rPr>
        <w:t>第三十六条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洗钱风险评估包括定期评估和不定期评估。法人金融机构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根据本机构实际和国家/区域洗钱风险评估需要，合理确定定期开展全系统洗钱风险评估的时间、周期或频率。</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Fonts w:ascii="微软雅黑" w:eastAsia="微软雅黑" w:hAnsi="微软雅黑" w:hint="eastAsia"/>
          <w:color w:val="333333"/>
          <w:spacing w:val="15"/>
        </w:rPr>
        <w:t>不定期评估包括对单项业务（含产品、服务）或特定客户的评估，以及在内部控制制度有重大调整、反洗钱监管政策发生重大变化、拓展新的销售或展业渠道、开发新产品或对现有产品使用新技术、拓展新的业务领域、设立新的境外机构、开展重大收购和投资等情况下对全系统或特定领域开展评估。</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为有效开展洗钱风险评估工作，法人金融机构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建立并维护业务（含产品、服务）类型清单和客户种类清单。</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第三十七条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根据洗钱风险评估结果，结合客户身份识别、客户身份资料和交易记录保存、交易监测、大额交易和可疑交易报告、名单监控、资产冻结等反洗钱义务</w:t>
      </w:r>
      <w:r w:rsidRPr="000F7899">
        <w:rPr>
          <w:rFonts w:ascii="微软雅黑" w:eastAsia="微软雅黑" w:hAnsi="微软雅黑" w:hint="eastAsia"/>
          <w:color w:val="333333"/>
          <w:spacing w:val="15"/>
        </w:rPr>
        <w:t>制定风险控制措施，并融入相关业务操作流程，有效控制洗钱风险</w:t>
      </w:r>
      <w:r w:rsidRPr="004C0E5D">
        <w:rPr>
          <w:rFonts w:ascii="微软雅黑" w:eastAsia="微软雅黑" w:hAnsi="微软雅黑" w:hint="eastAsia"/>
          <w:color w:val="333333"/>
          <w:spacing w:val="15"/>
        </w:rPr>
        <w:t>。</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lastRenderedPageBreak/>
        <w:t>第三十八条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内部不同层次的洗钱风险报告制度。境内外分支机构、相关附属机构应当及时向总部反洗钱管理部门报告洗钱风险情况；各业务条线、业务部门应当及时向反洗钱管理部门报告洗钱风险情况，包括风险调整变动情况、风险评估结果等；反洗钱管理部门应当及时向董事会和高级管理层报告洗钱风险情况，包括洗钱风险管理策略、政策、程序、风险评估制度、风险控制措施的制定和执行情况以及洗钱风险事件等。</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第三十九条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制定应急计划，确保能够及时应对和处理重大洗钱风险享件、境内外有关反洗钱监管措施、重大洗钱负面新闻报道等紧急、危机情况，做好舆情监测，避免引发声誉风险。应急计划应当说明可能出现的重大风险情况及应当采取的措施。法人金融机构的应急计划应当涵盖对境内外分支机构和相关附属机构的应急安排。</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第四十条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通过妥善方式记录开展洗钱风险管理的工作过程，采取必要的管理措施和技术手段保存工作资料，保存方式应当保证洗钱风险管理人员获取相关信息的便捷性。</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Style w:val="a8"/>
          <w:rFonts w:ascii="微软雅黑" w:eastAsia="微软雅黑" w:hAnsi="微软雅黑" w:hint="eastAsia"/>
          <w:color w:val="333333"/>
          <w:spacing w:val="15"/>
        </w:rPr>
        <w:t>第四十一条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健全内部控制机制，按照《中华人民共和国反洗钱法》、《中华人民共和国国家安全法》《中华人民共和国网络安全法》和有关保密规定，严格保护反洗钱工作中获得的信息，非依法律规定，不得向任何单位和个人提供。</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建立跨境信息保密保障措施，对于在开展跨境业务、应对跨境监管等过程中所涉的客户、账户和交易信息、可疑交易报</w:t>
      </w:r>
      <w:r w:rsidRPr="004C0E5D">
        <w:rPr>
          <w:rFonts w:ascii="微软雅黑" w:eastAsia="微软雅黑" w:hAnsi="微软雅黑" w:hint="eastAsia"/>
          <w:color w:val="333333"/>
          <w:spacing w:val="15"/>
        </w:rPr>
        <w:lastRenderedPageBreak/>
        <w:t>告等信息，应当严格控制跨境信息知悉范围和程度，建立完善的内部跨境信息传递体系、风险控制流程和授权审批机制。</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境外有关部门因反洗钱和反恐怖融资需要要求其提供客户、账户、交易信息及其他相关信息的，法人金融机构应当告知对方通过外交途径、司法协助途径或金融监管合作途径等提出请求不得擅自提供。有关国内司法冻结、司法查询、可疑交易报告、行政机构反洗钱调查等信息不得对外提供。</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境外清算代理行因反洗钱和反恐怖融资需要要求提供除汇款信息、单位客户注册信息等以外的客户身份信息、交易背景信息的，法人金融机构应当在获得客户授权同意后提供；客户不同意或未获得客户授权同意的，法人金融机构不得提供。</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第四十二条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出于洗钱风险管理需要，法人金融机构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内部信息共享制度和程序，根据信息敏感度及其与洗钱风险管理的相关性确定信息共享的范围和程度，制定适当的信息共享机制，明确信息安全和保密要求，建立健全信息共享保障措施，确保信息的及时、准确、完整传递。</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法人金融机构反洗钱管理部门、审计部门等部门为履行反洗钱工作职责，有权要求境内外分支机构和相关附属机构提供客户、账户、交易信息及其他与洗钱风险管理相关的信息。</w:t>
      </w:r>
    </w:p>
    <w:p w:rsidR="004C0E5D" w:rsidRPr="004C0E5D" w:rsidRDefault="004C0E5D" w:rsidP="004C0E5D">
      <w:pPr>
        <w:pStyle w:val="a7"/>
        <w:shd w:val="clear" w:color="auto" w:fill="FFFFFF"/>
        <w:spacing w:before="0" w:beforeAutospacing="0" w:after="0" w:afterAutospacing="0" w:line="420" w:lineRule="atLeast"/>
        <w:ind w:firstLine="555"/>
        <w:jc w:val="center"/>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第五章</w:t>
      </w:r>
      <w:r w:rsidR="004370A6">
        <w:rPr>
          <w:rStyle w:val="apple-converted-space"/>
          <w:rFonts w:ascii="微软雅黑" w:eastAsia="微软雅黑" w:hAnsi="微软雅黑" w:hint="eastAsia"/>
          <w:b/>
          <w:bCs/>
          <w:color w:val="333333"/>
          <w:spacing w:val="15"/>
        </w:rPr>
        <w:t xml:space="preserve">  </w:t>
      </w:r>
      <w:r w:rsidRPr="004C0E5D">
        <w:rPr>
          <w:rStyle w:val="a8"/>
          <w:rFonts w:ascii="微软雅黑" w:eastAsia="微软雅黑" w:hAnsi="微软雅黑" w:hint="eastAsia"/>
          <w:color w:val="333333"/>
          <w:spacing w:val="15"/>
        </w:rPr>
        <w:t>风险管理政策和程序——措施</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第四十三条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法人金融机构按照反洗钱法律法规和监管要求所采取的客户身份识别、客户身份资料和交易记录保存、大额交易和可疑交</w:t>
      </w:r>
      <w:r w:rsidRPr="004C0E5D">
        <w:rPr>
          <w:rFonts w:ascii="微软雅黑" w:eastAsia="微软雅黑" w:hAnsi="微软雅黑" w:hint="eastAsia"/>
          <w:color w:val="333333"/>
          <w:spacing w:val="15"/>
        </w:rPr>
        <w:lastRenderedPageBreak/>
        <w:t>易报告等措施是满足反洗钱合规性要求的最低标准，情节严重的违法行为将受到处罚。为有效管理洗钱风险，法人金融机构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在此基础上，采取更有针对性、更严格、更有效的措施。</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Style w:val="a8"/>
          <w:rFonts w:ascii="微软雅黑" w:eastAsia="微软雅黑" w:hAnsi="微软雅黑" w:hint="eastAsia"/>
          <w:color w:val="333333"/>
          <w:spacing w:val="15"/>
        </w:rPr>
        <w:t>第四十四条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按照规定建立健全和执行客户身份识别制度，遵循“了解你的客户”的原则，针对具有不同洗钱风险的客户、业务关系或交易，采取相应的控制措施，通，过可靠和来源独立的证明文件、数据信息和资料核实客户身份了解客户建立、维持业务关系的目的及性质，了解实际控制客户的自然人和交易的实际受益人。</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Fonts w:ascii="微软雅黑" w:eastAsia="微软雅黑" w:hAnsi="微软雅黑" w:hint="eastAsia"/>
          <w:color w:val="333333"/>
          <w:spacing w:val="15"/>
        </w:rPr>
        <w:t>客户身份识别措施包括但不限于以下方面:在</w:t>
      </w:r>
      <w:r w:rsidRPr="000F7899">
        <w:rPr>
          <w:rFonts w:ascii="微软雅黑" w:eastAsia="微软雅黑" w:hAnsi="微软雅黑" w:hint="eastAsia"/>
          <w:color w:val="333333"/>
          <w:spacing w:val="15"/>
        </w:rPr>
        <w:t>建立</w:t>
      </w:r>
      <w:r w:rsidRPr="004C0E5D">
        <w:rPr>
          <w:rFonts w:ascii="微软雅黑" w:eastAsia="微软雅黑" w:hAnsi="微软雅黑" w:hint="eastAsia"/>
          <w:color w:val="333333"/>
          <w:spacing w:val="15"/>
        </w:rPr>
        <w:t>业务关系时的客户身份识别措施、在业务关系</w:t>
      </w:r>
      <w:r w:rsidRPr="000F7899">
        <w:rPr>
          <w:rFonts w:ascii="微软雅黑" w:eastAsia="微软雅黑" w:hAnsi="微软雅黑" w:hint="eastAsia"/>
          <w:color w:val="333333"/>
          <w:spacing w:val="15"/>
        </w:rPr>
        <w:t>存续</w:t>
      </w:r>
      <w:r w:rsidRPr="004C0E5D">
        <w:rPr>
          <w:rFonts w:ascii="微软雅黑" w:eastAsia="微软雅黑" w:hAnsi="微软雅黑" w:hint="eastAsia"/>
          <w:color w:val="333333"/>
          <w:spacing w:val="15"/>
        </w:rPr>
        <w:t>期间的持续识别和重新识别措施、非自然人客户受益所有人的识别措施、对特定自然人和特定类别业务的客户身份识别措施以及客户洗钱风险分类管理措施等。</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在</w:t>
      </w:r>
      <w:r w:rsidRPr="000F7899">
        <w:rPr>
          <w:rFonts w:ascii="微软雅黑" w:eastAsia="微软雅黑" w:hAnsi="微软雅黑" w:hint="eastAsia"/>
          <w:color w:val="333333"/>
          <w:spacing w:val="15"/>
        </w:rPr>
        <w:t>建立</w:t>
      </w:r>
      <w:r w:rsidRPr="004C0E5D">
        <w:rPr>
          <w:rFonts w:ascii="微软雅黑" w:eastAsia="微软雅黑" w:hAnsi="微软雅黑" w:hint="eastAsia"/>
          <w:color w:val="333333"/>
          <w:spacing w:val="15"/>
        </w:rPr>
        <w:t>业务关系时，法人金融机构为不影响正常交易，可以在建立业务关系后完成对客户的身份核实，但应当建立相应的风险管理机制和程序，确保客户洗钱和恐怖融资风险可控。在业务关系</w:t>
      </w:r>
      <w:r w:rsidRPr="000F7899">
        <w:rPr>
          <w:rFonts w:ascii="微软雅黑" w:eastAsia="微软雅黑" w:hAnsi="微软雅黑" w:hint="eastAsia"/>
          <w:color w:val="333333"/>
          <w:spacing w:val="15"/>
        </w:rPr>
        <w:t>存续</w:t>
      </w:r>
      <w:r w:rsidRPr="004C0E5D">
        <w:rPr>
          <w:rFonts w:ascii="微软雅黑" w:eastAsia="微软雅黑" w:hAnsi="微软雅黑" w:hint="eastAsia"/>
          <w:color w:val="333333"/>
          <w:spacing w:val="15"/>
        </w:rPr>
        <w:t>期间，法人金融机构应详细审查保存的客户资料和交易，及时更新客户身份信息，确保当前进行的交易与客户身份背景相匹配。</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第四十五条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按照规定建立客户身份资料和交易记录保存制度，强化内部管理措施，更新技术手段，逐步完善相关信息系统，统筹考虑保存范围、方式和期限，确保客户身份信息和交易记录完整准确。法人金融机构应当建立适当的授权机制，明确工作程序，</w:t>
      </w:r>
      <w:r w:rsidRPr="004C0E5D">
        <w:rPr>
          <w:rFonts w:ascii="微软雅黑" w:eastAsia="微软雅黑" w:hAnsi="微软雅黑" w:hint="eastAsia"/>
          <w:color w:val="333333"/>
          <w:spacing w:val="15"/>
        </w:rPr>
        <w:lastRenderedPageBreak/>
        <w:t>按照规定将客户身份信息和交易记录迅速、便捷、准确地提供给监管机构、执法机构等部门。</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第四十六条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构建以客户为基本单位的</w:t>
      </w:r>
      <w:r w:rsidRPr="000F7899">
        <w:rPr>
          <w:rFonts w:ascii="微软雅黑" w:eastAsia="微软雅黑" w:hAnsi="微软雅黑" w:hint="eastAsia"/>
          <w:color w:val="333333"/>
          <w:spacing w:val="15"/>
        </w:rPr>
        <w:t>交易监测体系</w:t>
      </w:r>
      <w:r w:rsidRPr="004C0E5D">
        <w:rPr>
          <w:rFonts w:ascii="微软雅黑" w:eastAsia="微软雅黑" w:hAnsi="微软雅黑" w:hint="eastAsia"/>
          <w:color w:val="333333"/>
          <w:spacing w:val="15"/>
        </w:rPr>
        <w:t>，交易监测范围应当覆盖全部客户和业务领域，包括客户的交易、企图进行的交易及客户身份识别的整个过程。法人金融机构应当根据本行业、本机构反洗钱工作实践和真实数据，重点参考本行业发生的洗钱案件及风险信息，结合客户的身份特征、交易特征或行为特征，建立与其面临的洗钱风险相匹配的监测标准，并根据客户、业务（含产品、服务）和洗钱风险变化情况及时调整。</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Style w:val="a8"/>
          <w:rFonts w:ascii="微软雅黑" w:eastAsia="微软雅黑" w:hAnsi="微软雅黑" w:hint="eastAsia"/>
          <w:color w:val="333333"/>
          <w:spacing w:val="15"/>
        </w:rPr>
        <w:t>第四十七条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建立健全大额交易和可疑交易报告制度，按照规定及时、准确、完整向中国反洗钱监测分析中心或中国人民银行及其分支机构提交大额交易和可疑交易报告。</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结合实际探索符合本机构特点的可疑交易报告分析处理模式，运用</w:t>
      </w:r>
      <w:r w:rsidRPr="000F7899">
        <w:rPr>
          <w:rFonts w:ascii="微软雅黑" w:eastAsia="微软雅黑" w:hAnsi="微软雅黑" w:hint="eastAsia"/>
          <w:color w:val="333333"/>
          <w:spacing w:val="15"/>
        </w:rPr>
        <w:t>信息系统与人工分析</w:t>
      </w:r>
      <w:r w:rsidRPr="004C0E5D">
        <w:rPr>
          <w:rFonts w:ascii="微软雅黑" w:eastAsia="微软雅黑" w:hAnsi="微软雅黑" w:hint="eastAsia"/>
          <w:color w:val="333333"/>
          <w:spacing w:val="15"/>
        </w:rPr>
        <w:t>相结合的方式，完整记录可疑交易分析排除或上报的</w:t>
      </w:r>
      <w:r w:rsidRPr="000F7899">
        <w:rPr>
          <w:rFonts w:ascii="微软雅黑" w:eastAsia="微软雅黑" w:hAnsi="微软雅黑" w:hint="eastAsia"/>
          <w:color w:val="333333"/>
          <w:spacing w:val="15"/>
        </w:rPr>
        <w:t>全过程</w:t>
      </w:r>
      <w:r w:rsidRPr="004C0E5D">
        <w:rPr>
          <w:rFonts w:ascii="微软雅黑" w:eastAsia="微软雅黑" w:hAnsi="微软雅黑" w:hint="eastAsia"/>
          <w:color w:val="333333"/>
          <w:spacing w:val="15"/>
        </w:rPr>
        <w:t>，完善可疑交易报告流程，提高可疑交易报告质量。</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法人金融机构在报送可疑交易报告后，</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根据中国人民银行的相关规定采取相应的后续风险控制措施，包括对可疑交易所涉客户及交易开展持续监控、提升客户风险等级、限制客户交易、拒绝提供服务、终止业务关系、向相关金融监管部门报告、向相关侦查机关报案等。</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第四十八条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建立反洗钱和反恐怖融资</w:t>
      </w:r>
      <w:r w:rsidRPr="000F7899">
        <w:rPr>
          <w:rFonts w:ascii="微软雅黑" w:eastAsia="微软雅黑" w:hAnsi="微软雅黑" w:hint="eastAsia"/>
          <w:color w:val="333333"/>
          <w:spacing w:val="15"/>
        </w:rPr>
        <w:t>监控名单库</w:t>
      </w:r>
      <w:r w:rsidRPr="004C0E5D">
        <w:rPr>
          <w:rFonts w:ascii="微软雅黑" w:eastAsia="微软雅黑" w:hAnsi="微软雅黑" w:hint="eastAsia"/>
          <w:color w:val="333333"/>
          <w:spacing w:val="15"/>
        </w:rPr>
        <w:t>，并及时进行更新和维护。监控名单包括但不限于以下内容:</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lastRenderedPageBreak/>
        <w:t>（一）公安部等我国有权部门发布的恐怖活动组织及恐怖活动人员名单；</w:t>
      </w:r>
    </w:p>
    <w:p w:rsidR="00AA1963"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Fonts w:ascii="微软雅黑" w:eastAsia="微软雅黑" w:hAnsi="微软雅黑" w:hint="eastAsia"/>
          <w:color w:val="333333"/>
          <w:spacing w:val="15"/>
        </w:rPr>
        <w:t>（二）联合国发布的且得到我国承认的制裁决议名单；</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（三）其他国际组织、其他国家（地区）发布的且得到我国承认的反洗钱和反恐怖融资监控名单；</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（四）中国人民银行要求关注的其他反洗钱和反恐怖融资监控名单；</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（五）洗钱风险管理工作中发现的其他需要监测关注的组织或人员名单。</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Style w:val="a8"/>
          <w:rFonts w:ascii="微软雅黑" w:eastAsia="微软雅黑" w:hAnsi="微软雅黑" w:hint="eastAsia"/>
          <w:color w:val="333333"/>
          <w:spacing w:val="15"/>
        </w:rPr>
        <w:t>第四十九条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对监控名单开展实时监测涉及资金交易的应当在资金交易完成前开展监测，不涉及资金交易的应当在办理相关业务后尽快开展监测。</w:t>
      </w:r>
      <w:r w:rsidRPr="000F7899">
        <w:rPr>
          <w:rFonts w:ascii="微软雅黑" w:eastAsia="微软雅黑" w:hAnsi="微软雅黑" w:hint="eastAsia"/>
          <w:color w:val="333333"/>
          <w:spacing w:val="15"/>
        </w:rPr>
        <w:t>在名单调整时，法人金融机构应当立即对存量客户以及上溯三年内的交易开展回溯性调查，并按规定提交可疑交易报告。</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Fonts w:ascii="微软雅黑" w:eastAsia="微软雅黑" w:hAnsi="微软雅黑" w:hint="eastAsia"/>
          <w:color w:val="333333"/>
          <w:spacing w:val="15"/>
        </w:rPr>
        <w:t>法人金融机构在洗钱风险管理工作中发现的其他需要监测关注的组织或人员名单，可以根据洗钱风险管理需要自主决定是否开展</w:t>
      </w:r>
      <w:r w:rsidRPr="000F7899">
        <w:rPr>
          <w:rFonts w:ascii="微软雅黑" w:eastAsia="微软雅黑" w:hAnsi="微软雅黑" w:hint="eastAsia"/>
          <w:color w:val="333333"/>
          <w:spacing w:val="15"/>
        </w:rPr>
        <w:t>实时监测和回溯性调查</w:t>
      </w:r>
      <w:r w:rsidRPr="004C0E5D">
        <w:rPr>
          <w:rFonts w:ascii="微软雅黑" w:eastAsia="微软雅黑" w:hAnsi="微软雅黑" w:hint="eastAsia"/>
          <w:color w:val="333333"/>
          <w:spacing w:val="15"/>
        </w:rPr>
        <w:t>。</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实时监测和回溯性调查</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运用信息系统与人工分析相结合的方式，通过信息系统实现监控名单精准匹配的自动识别工作，或先通过信息系统实现监控名单模糊匹配的初步筛查，再通过人工分析完成监控名单模糊匹配的最终识别工作。交易的回溯性调查可以采取信息系统实时筛查与后台数据库检索查询相结合的方式开展。</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lastRenderedPageBreak/>
        <w:t>第五十条</w:t>
      </w:r>
      <w:r w:rsidR="004370A6" w:rsidRPr="000F7899">
        <w:rPr>
          <w:rFonts w:hint="eastAsia"/>
        </w:rPr>
        <w:t xml:space="preserve">  </w:t>
      </w:r>
      <w:r w:rsidRPr="004C0E5D">
        <w:rPr>
          <w:rFonts w:ascii="微软雅黑" w:eastAsia="微软雅黑" w:hAnsi="微软雅黑" w:hint="eastAsia"/>
          <w:color w:val="333333"/>
          <w:spacing w:val="15"/>
        </w:rPr>
        <w:t>有合理理由怀疑客户或其交易对手、资金或其他资产与监控名单相关的，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按照规定立即提交可疑交易报告。客户与监控名单匹配的，应当立即采取相应措施并于当日将有关情况报告中国人民银行和其他相关部门。</w:t>
      </w:r>
      <w:r w:rsidRPr="000F7899">
        <w:rPr>
          <w:rFonts w:ascii="微软雅黑" w:eastAsia="微软雅黑" w:hAnsi="微软雅黑" w:hint="eastAsia"/>
          <w:color w:val="333333"/>
          <w:spacing w:val="15"/>
        </w:rPr>
        <w:t>具体措施</w:t>
      </w:r>
      <w:r w:rsidRPr="004C0E5D">
        <w:rPr>
          <w:rFonts w:ascii="微软雅黑" w:eastAsia="微软雅黑" w:hAnsi="微软雅黑" w:hint="eastAsia"/>
          <w:color w:val="333333"/>
          <w:spacing w:val="15"/>
        </w:rPr>
        <w:t>包括但不限于停止金融账户的开立、变更、撤销和使用，暂停金融交易，拒绝转移、转换金融资产，停止提供出口信贷、担保、保险等金融服务，依法冻结账户资产。暂时无法准确判断客户与监控名单是否相匹配的，法人金融机构应当按照风险管理原则，采取相应的风险控制措施并进行持续交易监控。</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Style w:val="a8"/>
          <w:rFonts w:ascii="微软雅黑" w:eastAsia="微软雅黑" w:hAnsi="微软雅黑" w:hint="eastAsia"/>
          <w:color w:val="333333"/>
          <w:spacing w:val="15"/>
        </w:rPr>
        <w:t>第五十一条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有效识别高风险业务（含产品、服务），并对其进行定期评估、动态调整。</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对于高风险业务（含产品、服务），如建立账户代理行关系、提供资金或价值转移服务、办理电汇业务等，法人金融机构</w:t>
      </w:r>
      <w:r w:rsidRPr="000F7899">
        <w:rPr>
          <w:rFonts w:ascii="微软雅黑" w:eastAsia="微软雅黑" w:hAnsi="微软雅黑" w:hint="eastAsia"/>
          <w:color w:val="333333"/>
          <w:spacing w:val="15"/>
        </w:rPr>
        <w:t>应</w:t>
      </w:r>
      <w:r w:rsidRPr="004C0E5D">
        <w:rPr>
          <w:rFonts w:ascii="微软雅黑" w:eastAsia="微软雅黑" w:hAnsi="微软雅黑" w:hint="eastAsia"/>
          <w:color w:val="333333"/>
          <w:spacing w:val="15"/>
        </w:rPr>
        <w:t>按照相关法律法规的要求，开展进一步的强化尽职调查措施，并结合高风险业务（含产品、服务）典型风险特征及时发布风险提示。</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第五十二条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制定并执行清晰的客户接纳政策和程序，明确禁止建立业务关系的客户范围，有效识别高风险客户或高风险账户，并对其进行</w:t>
      </w:r>
      <w:r w:rsidRPr="000F7899">
        <w:rPr>
          <w:rFonts w:ascii="微软雅黑" w:eastAsia="微软雅黑" w:hAnsi="微软雅黑" w:hint="eastAsia"/>
          <w:color w:val="333333"/>
          <w:spacing w:val="15"/>
        </w:rPr>
        <w:t>定期评估、动态调整</w:t>
      </w:r>
      <w:r w:rsidRPr="004C0E5D">
        <w:rPr>
          <w:rFonts w:ascii="微软雅黑" w:eastAsia="微软雅黑" w:hAnsi="微软雅黑" w:hint="eastAsia"/>
          <w:color w:val="333333"/>
          <w:spacing w:val="15"/>
        </w:rPr>
        <w:t>。对于高风险客户或高风险账户持有人，包括客户属于政治公众人物、国际组织高级管理人员及其特定关系人或来自高风险国家（地区）的，法人金融机构应当在客户身份识别要求的基础上采取</w:t>
      </w:r>
      <w:r w:rsidRPr="000F7899">
        <w:rPr>
          <w:rFonts w:ascii="微软雅黑" w:eastAsia="微软雅黑" w:hAnsi="微软雅黑" w:hint="eastAsia"/>
          <w:color w:val="333333"/>
          <w:spacing w:val="15"/>
        </w:rPr>
        <w:t>强化措施</w:t>
      </w:r>
      <w:r w:rsidRPr="004C0E5D">
        <w:rPr>
          <w:rFonts w:ascii="微软雅黑" w:eastAsia="微软雅黑" w:hAnsi="微软雅黑" w:hint="eastAsia"/>
          <w:color w:val="333333"/>
          <w:spacing w:val="15"/>
        </w:rPr>
        <w:t>，包括但不限于进一步获取客户及其受益所有人身份信息，适当提高信息的收集或更新频率，深入了解客户经营活动状况、财产或资金来源，询问与核实交易的目的和动机，适度</w:t>
      </w:r>
      <w:r w:rsidRPr="004C0E5D">
        <w:rPr>
          <w:rFonts w:ascii="微软雅黑" w:eastAsia="微软雅黑" w:hAnsi="微软雅黑" w:hint="eastAsia"/>
          <w:color w:val="333333"/>
          <w:spacing w:val="15"/>
        </w:rPr>
        <w:lastRenderedPageBreak/>
        <w:t>提高交易监测的频率及强度，提高审批层级等，并加强对其金融交易活动的跟踪监测和分析排查。</w:t>
      </w:r>
    </w:p>
    <w:p w:rsidR="004C0E5D" w:rsidRPr="004C0E5D" w:rsidRDefault="004C0E5D" w:rsidP="004C0E5D">
      <w:pPr>
        <w:pStyle w:val="a7"/>
        <w:shd w:val="clear" w:color="auto" w:fill="FFFFFF"/>
        <w:spacing w:before="0" w:beforeAutospacing="0" w:after="0" w:afterAutospacing="0" w:line="420" w:lineRule="atLeast"/>
        <w:ind w:firstLine="555"/>
        <w:jc w:val="center"/>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第六章</w:t>
      </w:r>
      <w:r w:rsidR="004370A6">
        <w:rPr>
          <w:rStyle w:val="apple-converted-space"/>
          <w:rFonts w:ascii="微软雅黑" w:eastAsia="微软雅黑" w:hAnsi="微软雅黑" w:hint="eastAsia"/>
          <w:b/>
          <w:bCs/>
          <w:color w:val="333333"/>
          <w:spacing w:val="15"/>
        </w:rPr>
        <w:t xml:space="preserve">  </w:t>
      </w:r>
      <w:r w:rsidRPr="004C0E5D">
        <w:rPr>
          <w:rStyle w:val="a8"/>
          <w:rFonts w:ascii="微软雅黑" w:eastAsia="微软雅黑" w:hAnsi="微软雅黑" w:hint="eastAsia"/>
          <w:color w:val="333333"/>
          <w:spacing w:val="15"/>
        </w:rPr>
        <w:t>信息系统和反洗钱数据、信息</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第五十三条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建立完善以客户为单位，覆盖所有业务（含产品、服务）和客户的反洗钱信息系统，及时、准确、完整采集和记录洗钱风险管理所需信息，对洗钱风险进行</w:t>
      </w:r>
      <w:r w:rsidRPr="000F7899">
        <w:rPr>
          <w:rFonts w:ascii="微软雅黑" w:eastAsia="微软雅黑" w:hAnsi="微软雅黑" w:hint="eastAsia"/>
          <w:color w:val="333333"/>
          <w:spacing w:val="15"/>
        </w:rPr>
        <w:t>识别</w:t>
      </w:r>
      <w:r w:rsidRPr="004C0E5D">
        <w:rPr>
          <w:rFonts w:ascii="微软雅黑" w:eastAsia="微软雅黑" w:hAnsi="微软雅黑" w:hint="eastAsia"/>
          <w:color w:val="333333"/>
          <w:spacing w:val="15"/>
        </w:rPr>
        <w:t>、</w:t>
      </w:r>
      <w:r w:rsidRPr="000F7899">
        <w:rPr>
          <w:rFonts w:ascii="微软雅黑" w:eastAsia="微软雅黑" w:hAnsi="微软雅黑" w:hint="eastAsia"/>
          <w:color w:val="333333"/>
          <w:spacing w:val="15"/>
        </w:rPr>
        <w:t>评估</w:t>
      </w:r>
      <w:r w:rsidRPr="004C0E5D">
        <w:rPr>
          <w:rFonts w:ascii="微软雅黑" w:eastAsia="微软雅黑" w:hAnsi="微软雅黑" w:hint="eastAsia"/>
          <w:color w:val="333333"/>
          <w:spacing w:val="15"/>
        </w:rPr>
        <w:t>、</w:t>
      </w:r>
      <w:r w:rsidRPr="000F7899">
        <w:rPr>
          <w:rFonts w:ascii="微软雅黑" w:eastAsia="微软雅黑" w:hAnsi="微软雅黑" w:hint="eastAsia"/>
          <w:color w:val="333333"/>
          <w:spacing w:val="15"/>
        </w:rPr>
        <w:t>监测</w:t>
      </w:r>
      <w:r w:rsidRPr="004C0E5D">
        <w:rPr>
          <w:rFonts w:ascii="微软雅黑" w:eastAsia="微软雅黑" w:hAnsi="微软雅黑" w:hint="eastAsia"/>
          <w:color w:val="333333"/>
          <w:spacing w:val="15"/>
        </w:rPr>
        <w:t>和</w:t>
      </w:r>
      <w:r w:rsidRPr="000F7899">
        <w:rPr>
          <w:rFonts w:ascii="微软雅黑" w:eastAsia="微软雅黑" w:hAnsi="微软雅黑" w:hint="eastAsia"/>
          <w:color w:val="333333"/>
          <w:spacing w:val="15"/>
        </w:rPr>
        <w:t>报告</w:t>
      </w:r>
      <w:r w:rsidRPr="004C0E5D">
        <w:rPr>
          <w:rFonts w:ascii="微软雅黑" w:eastAsia="微软雅黑" w:hAnsi="微软雅黑" w:hint="eastAsia"/>
          <w:color w:val="333333"/>
          <w:spacing w:val="15"/>
        </w:rPr>
        <w:t>，并根据洗钱风险管理需要持续优化升级系统。</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第五十四条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反洗钱信息系统及相关系统应当包括但不限于以下主要功能，以支持洗钱风险管理的需要。</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（一）支持洗钱风险评估，包括业务洗钱风险评估和客户洗钱风险分类管理；</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（二）支持客户身份识别、客户身份资料及交易记录等反洗钱信息的登记、保存、查询和使用；</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（三）支持反洗钱交易监测和分析；</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（四）支持大额交易和可疑交易报告；</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（五）支持名单实时监控和回溯性调查；</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（六）支持反洗钱监管和反洗钱调查。</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第五十五条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在保密原则基础上，法人金融机构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根据工作职责</w:t>
      </w:r>
      <w:r w:rsidRPr="000F7899">
        <w:rPr>
          <w:rFonts w:ascii="微软雅黑" w:eastAsia="微软雅黑" w:hAnsi="微软雅黑" w:hint="eastAsia"/>
          <w:color w:val="333333"/>
          <w:spacing w:val="15"/>
        </w:rPr>
        <w:t>合理配置</w:t>
      </w:r>
      <w:r w:rsidRPr="004C0E5D">
        <w:rPr>
          <w:rFonts w:ascii="微软雅黑" w:eastAsia="微软雅黑" w:hAnsi="微软雅黑" w:hint="eastAsia"/>
          <w:color w:val="333333"/>
          <w:spacing w:val="15"/>
        </w:rPr>
        <w:t>本机构各业务条线、各境内外分支机构和相关附属机构、各岗位的信息系统使用权限，确保各级人员有效获取洗钱风险管理所需信息，满足实际工作需要。</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lastRenderedPageBreak/>
        <w:t>第五十六条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加强数据治理，建立健全数据质量控制机制，积累真实、准确、连续、完整的内外部数据，用于洗钱风险识别、评估、监测和报告。反洗钱数据的存储和使用应当符合数据安全标准、满足保密管理要求。</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法人金融机构不得违反规定设置信息壁垒，阻止或影响其他法人金融机构正常获取开展反洗钱工作所必需的信息和数据。</w:t>
      </w:r>
    </w:p>
    <w:p w:rsidR="004C0E5D" w:rsidRPr="004C0E5D" w:rsidRDefault="004C0E5D" w:rsidP="004C0E5D">
      <w:pPr>
        <w:pStyle w:val="a7"/>
        <w:shd w:val="clear" w:color="auto" w:fill="FFFFFF"/>
        <w:spacing w:before="0" w:beforeAutospacing="0" w:after="0" w:afterAutospacing="0" w:line="420" w:lineRule="atLeast"/>
        <w:ind w:firstLine="555"/>
        <w:jc w:val="center"/>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第七章</w:t>
      </w:r>
      <w:r w:rsidR="004370A6">
        <w:rPr>
          <w:rStyle w:val="apple-converted-space"/>
          <w:rFonts w:ascii="微软雅黑" w:eastAsia="微软雅黑" w:hAnsi="微软雅黑" w:hint="eastAsia"/>
          <w:b/>
          <w:bCs/>
          <w:color w:val="333333"/>
          <w:spacing w:val="15"/>
        </w:rPr>
        <w:t xml:space="preserve">  </w:t>
      </w:r>
      <w:r w:rsidRPr="004C0E5D">
        <w:rPr>
          <w:rStyle w:val="a8"/>
          <w:rFonts w:ascii="微软雅黑" w:eastAsia="微软雅黑" w:hAnsi="微软雅黑" w:hint="eastAsia"/>
          <w:color w:val="333333"/>
          <w:spacing w:val="15"/>
        </w:rPr>
        <w:t>内部检查、审计、绩效考核和奖惩机制</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第五十七条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对业务部门、境内外分支机构、相关附属机构开展定期或不定期的反洗钱工作检查，对检查结果进行分析，对发现的问题进行积极整改。检查结果与业务部门、境内外分支机构、相关附属机构绩效考核和管理授权挂钩。</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第五十八条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通过内部审计开展洗钱风险管理的审计评价，检查和评价洗钱风险管理的合规性和有效性，确保各项业务自身管理与其洗钱风险管理工作相匹配，反洗钱内部控制有效。审计范围、方法和频率应当与洗钱风险状况相适应。反洗钱内部审计可以是专项审计或与其他审计项目结合进行。</w:t>
      </w:r>
    </w:p>
    <w:p w:rsidR="004C0E5D" w:rsidRPr="000F7899"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15"/>
        </w:rPr>
      </w:pP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确保反洗钱内部审计活动独立于业务经营、风险管理和合规管理，遵循独立性、客观性原则，不断提升内部审计人员的专业能力和职业操守。</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反洗钱内部审计报告</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提交董事会或其授权的专门委员会。董事会或其授权的专门委员会应当针对内部审计发现的问题，督促高级管理层及时采取整改措施。内部审计部门应当跟踪检查整改措施的实施情况，</w:t>
      </w:r>
      <w:r w:rsidRPr="004C0E5D">
        <w:rPr>
          <w:rFonts w:ascii="微软雅黑" w:eastAsia="微软雅黑" w:hAnsi="微软雅黑" w:hint="eastAsia"/>
          <w:color w:val="333333"/>
          <w:spacing w:val="15"/>
        </w:rPr>
        <w:lastRenderedPageBreak/>
        <w:t>涉及重大问题的整改情况，应及时向董事会或其授权的专门委员会提交有关报告。</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第五十九条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法人金融机构委托外部审计机构对洗钱风险管理工作开展评价的，外部审计必须确保审计范围和方法科学合理，审计人员具有必要的专业知识和经验，审计工作应当满足反洗钱保密要求。</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第六十条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将反洗钱工作评价纳入绩效考核体系，将董事、监事、高级管理人员、洗钱风险管理人员的洗钱风险管理履职情况和业务部门、境内外分支机构和相关附属机构的洗钱风险管理履职情况纳入绩效考核范围。</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w:t>
      </w:r>
      <w:r w:rsidRPr="000F7899">
        <w:rPr>
          <w:rFonts w:ascii="微软雅黑" w:eastAsia="微软雅黑" w:hAnsi="微软雅黑" w:hint="eastAsia"/>
          <w:color w:val="333333"/>
          <w:spacing w:val="15"/>
        </w:rPr>
        <w:t>应当</w:t>
      </w:r>
      <w:r w:rsidRPr="004C0E5D">
        <w:rPr>
          <w:rFonts w:ascii="微软雅黑" w:eastAsia="微软雅黑" w:hAnsi="微软雅黑" w:hint="eastAsia"/>
          <w:color w:val="333333"/>
          <w:spacing w:val="15"/>
        </w:rPr>
        <w:t>建立反洗钱奖惩机制，对于发现重大可疑交易线索或防范、遏止相关犯罪行为的员工给予适当的奖励或表扬；对于未有效履行反洗钱职责、受到反洗钱监管处罚、涉及洗钱犯罪的员工追究相关责任。</w:t>
      </w:r>
    </w:p>
    <w:p w:rsidR="004C0E5D" w:rsidRPr="004C0E5D" w:rsidRDefault="004C0E5D" w:rsidP="004C0E5D">
      <w:pPr>
        <w:pStyle w:val="a7"/>
        <w:shd w:val="clear" w:color="auto" w:fill="FFFFFF"/>
        <w:spacing w:before="0" w:beforeAutospacing="0" w:after="0" w:afterAutospacing="0" w:line="420" w:lineRule="atLeast"/>
        <w:ind w:firstLine="555"/>
        <w:jc w:val="center"/>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第八章</w:t>
      </w:r>
      <w:r w:rsidR="004370A6">
        <w:rPr>
          <w:rStyle w:val="apple-converted-space"/>
          <w:rFonts w:ascii="微软雅黑" w:eastAsia="微软雅黑" w:hAnsi="微软雅黑" w:hint="eastAsia"/>
          <w:b/>
          <w:bCs/>
          <w:color w:val="333333"/>
          <w:spacing w:val="15"/>
        </w:rPr>
        <w:t xml:space="preserve">  </w:t>
      </w:r>
      <w:r w:rsidRPr="004C0E5D">
        <w:rPr>
          <w:rStyle w:val="a8"/>
          <w:rFonts w:ascii="微软雅黑" w:eastAsia="微软雅黑" w:hAnsi="微软雅黑" w:hint="eastAsia"/>
          <w:color w:val="333333"/>
          <w:spacing w:val="15"/>
        </w:rPr>
        <w:t>附则</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第六十一条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未设立董事会和监事会的法人金融机构，由其高级管理层承担洗钱风险管理的最终责任，履行相应职责，并指定一个独立于反洗钱管理部门的内设部门承担洗钱风险管理的监督职责。</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Fonts w:ascii="微软雅黑" w:eastAsia="微软雅黑" w:hAnsi="微软雅黑" w:hint="eastAsia"/>
          <w:color w:val="333333"/>
          <w:spacing w:val="15"/>
        </w:rPr>
        <w:t>法人金融机构根据本机构业务实际对反洗钱信息系统及其他相关系统的开发、日常维护及升级等工作作出其他安排的，应当确保相关安排满足洗钱风险管理需要。</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lastRenderedPageBreak/>
        <w:t>第六十二条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非银行支付机构、从事汇兑业务和基金销售业务的机构，以及银行卡清算机构、资金清算中心等从事清算业务的机构参照本指引开展洗钱风险管理。</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第六十三条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本指引由中国人民银行负责解释。</w:t>
      </w:r>
    </w:p>
    <w:p w:rsidR="004C0E5D" w:rsidRPr="004C0E5D" w:rsidRDefault="004C0E5D" w:rsidP="004C0E5D">
      <w:pPr>
        <w:pStyle w:val="a7"/>
        <w:shd w:val="clear" w:color="auto" w:fill="FFFFFF"/>
        <w:spacing w:before="0" w:beforeAutospacing="0" w:after="0" w:afterAutospacing="0" w:line="420" w:lineRule="atLeast"/>
        <w:ind w:firstLine="555"/>
        <w:jc w:val="both"/>
        <w:rPr>
          <w:rFonts w:ascii="微软雅黑" w:eastAsia="微软雅黑" w:hAnsi="微软雅黑"/>
          <w:color w:val="333333"/>
          <w:spacing w:val="8"/>
        </w:rPr>
      </w:pPr>
      <w:r w:rsidRPr="004C0E5D">
        <w:rPr>
          <w:rStyle w:val="a8"/>
          <w:rFonts w:ascii="微软雅黑" w:eastAsia="微软雅黑" w:hAnsi="微软雅黑" w:hint="eastAsia"/>
          <w:color w:val="333333"/>
          <w:spacing w:val="15"/>
        </w:rPr>
        <w:t>第六十四条</w:t>
      </w:r>
      <w:r w:rsidR="004370A6">
        <w:rPr>
          <w:rStyle w:val="apple-converted-space"/>
          <w:rFonts w:ascii="微软雅黑" w:eastAsia="微软雅黑" w:hAnsi="微软雅黑" w:hint="eastAsia"/>
          <w:b/>
          <w:bCs/>
          <w:color w:val="333333"/>
          <w:spacing w:val="15"/>
        </w:rPr>
        <w:t xml:space="preserve">  </w:t>
      </w:r>
      <w:r w:rsidRPr="004C0E5D">
        <w:rPr>
          <w:rFonts w:ascii="微软雅黑" w:eastAsia="微软雅黑" w:hAnsi="微软雅黑" w:hint="eastAsia"/>
          <w:color w:val="333333"/>
          <w:spacing w:val="15"/>
        </w:rPr>
        <w:t>本指引自2019年1月1日起施行。</w:t>
      </w:r>
    </w:p>
    <w:p w:rsidR="00C93E4B" w:rsidRPr="004C0E5D" w:rsidRDefault="00C93E4B">
      <w:pPr>
        <w:rPr>
          <w:rFonts w:ascii="微软雅黑" w:eastAsia="微软雅黑" w:hAnsi="微软雅黑"/>
          <w:sz w:val="24"/>
          <w:szCs w:val="24"/>
        </w:rPr>
      </w:pPr>
    </w:p>
    <w:sectPr w:rsidR="00C93E4B" w:rsidRPr="004C0E5D" w:rsidSect="001E01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5BC" w:rsidRDefault="004F35BC" w:rsidP="004C0E5D">
      <w:r>
        <w:separator/>
      </w:r>
    </w:p>
  </w:endnote>
  <w:endnote w:type="continuationSeparator" w:id="0">
    <w:p w:rsidR="004F35BC" w:rsidRDefault="004F35BC" w:rsidP="004C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5BC" w:rsidRDefault="004F35BC" w:rsidP="004C0E5D">
      <w:r>
        <w:separator/>
      </w:r>
    </w:p>
  </w:footnote>
  <w:footnote w:type="continuationSeparator" w:id="0">
    <w:p w:rsidR="004F35BC" w:rsidRDefault="004F35BC" w:rsidP="004C0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1974"/>
    <w:rsid w:val="00023FD6"/>
    <w:rsid w:val="000866E2"/>
    <w:rsid w:val="000C15B8"/>
    <w:rsid w:val="000D7060"/>
    <w:rsid w:val="000F7899"/>
    <w:rsid w:val="00132975"/>
    <w:rsid w:val="00190031"/>
    <w:rsid w:val="00196F5F"/>
    <w:rsid w:val="001B3A25"/>
    <w:rsid w:val="001E01AD"/>
    <w:rsid w:val="001F397E"/>
    <w:rsid w:val="001F4246"/>
    <w:rsid w:val="001F6F11"/>
    <w:rsid w:val="002B4099"/>
    <w:rsid w:val="002D1974"/>
    <w:rsid w:val="003917A0"/>
    <w:rsid w:val="003E4550"/>
    <w:rsid w:val="004370A6"/>
    <w:rsid w:val="00441BFF"/>
    <w:rsid w:val="0046429C"/>
    <w:rsid w:val="0046768A"/>
    <w:rsid w:val="004839C8"/>
    <w:rsid w:val="004A5FC7"/>
    <w:rsid w:val="004C0E5D"/>
    <w:rsid w:val="004F35BC"/>
    <w:rsid w:val="005948B2"/>
    <w:rsid w:val="006418A9"/>
    <w:rsid w:val="006C051F"/>
    <w:rsid w:val="006E37F5"/>
    <w:rsid w:val="00792C59"/>
    <w:rsid w:val="00840FA1"/>
    <w:rsid w:val="0086603D"/>
    <w:rsid w:val="008A28DD"/>
    <w:rsid w:val="008C34C3"/>
    <w:rsid w:val="0099652D"/>
    <w:rsid w:val="00A14F71"/>
    <w:rsid w:val="00A26FA8"/>
    <w:rsid w:val="00A33508"/>
    <w:rsid w:val="00A8428E"/>
    <w:rsid w:val="00A946F4"/>
    <w:rsid w:val="00AA1963"/>
    <w:rsid w:val="00AA329D"/>
    <w:rsid w:val="00B02875"/>
    <w:rsid w:val="00B75716"/>
    <w:rsid w:val="00C93E4B"/>
    <w:rsid w:val="00D30FF5"/>
    <w:rsid w:val="00E376D2"/>
    <w:rsid w:val="00F14AB1"/>
    <w:rsid w:val="00F82A9A"/>
    <w:rsid w:val="00FF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80A165-FC7C-43F7-A1C9-0A02C3B0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E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0E5D"/>
    <w:rPr>
      <w:sz w:val="18"/>
      <w:szCs w:val="18"/>
    </w:rPr>
  </w:style>
  <w:style w:type="paragraph" w:styleId="a5">
    <w:name w:val="footer"/>
    <w:basedOn w:val="a"/>
    <w:link w:val="a6"/>
    <w:uiPriority w:val="99"/>
    <w:unhideWhenUsed/>
    <w:rsid w:val="004C0E5D"/>
    <w:pPr>
      <w:tabs>
        <w:tab w:val="center" w:pos="4153"/>
        <w:tab w:val="right" w:pos="8306"/>
      </w:tabs>
      <w:snapToGrid w:val="0"/>
      <w:jc w:val="left"/>
    </w:pPr>
    <w:rPr>
      <w:sz w:val="18"/>
      <w:szCs w:val="18"/>
    </w:rPr>
  </w:style>
  <w:style w:type="character" w:customStyle="1" w:styleId="a6">
    <w:name w:val="页脚 字符"/>
    <w:basedOn w:val="a0"/>
    <w:link w:val="a5"/>
    <w:uiPriority w:val="99"/>
    <w:rsid w:val="004C0E5D"/>
    <w:rPr>
      <w:sz w:val="18"/>
      <w:szCs w:val="18"/>
    </w:rPr>
  </w:style>
  <w:style w:type="paragraph" w:styleId="a7">
    <w:name w:val="Normal (Web)"/>
    <w:basedOn w:val="a"/>
    <w:uiPriority w:val="99"/>
    <w:semiHidden/>
    <w:unhideWhenUsed/>
    <w:rsid w:val="004C0E5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C0E5D"/>
    <w:rPr>
      <w:b/>
      <w:bCs/>
    </w:rPr>
  </w:style>
  <w:style w:type="character" w:customStyle="1" w:styleId="apple-converted-space">
    <w:name w:val="apple-converted-space"/>
    <w:basedOn w:val="a0"/>
    <w:rsid w:val="004C0E5D"/>
  </w:style>
  <w:style w:type="paragraph" w:styleId="a9">
    <w:name w:val="Document Map"/>
    <w:basedOn w:val="a"/>
    <w:link w:val="aa"/>
    <w:uiPriority w:val="99"/>
    <w:semiHidden/>
    <w:unhideWhenUsed/>
    <w:rsid w:val="00F14AB1"/>
    <w:rPr>
      <w:rFonts w:ascii="宋体" w:eastAsia="宋体"/>
      <w:sz w:val="18"/>
      <w:szCs w:val="18"/>
    </w:rPr>
  </w:style>
  <w:style w:type="character" w:customStyle="1" w:styleId="aa">
    <w:name w:val="文档结构图 字符"/>
    <w:basedOn w:val="a0"/>
    <w:link w:val="a9"/>
    <w:uiPriority w:val="99"/>
    <w:semiHidden/>
    <w:rsid w:val="00F14AB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8F577-F9E8-43CF-AB6A-69563199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26</Pages>
  <Words>1980</Words>
  <Characters>11290</Characters>
  <Application>Microsoft Office Word</Application>
  <DocSecurity>0</DocSecurity>
  <Lines>94</Lines>
  <Paragraphs>26</Paragraphs>
  <ScaleCrop>false</ScaleCrop>
  <Company>agilecentury</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捷软</dc:creator>
  <cp:keywords/>
  <dc:description/>
  <cp:lastModifiedBy>赵瑞平</cp:lastModifiedBy>
  <cp:revision>29</cp:revision>
  <dcterms:created xsi:type="dcterms:W3CDTF">2018-10-11T01:56:00Z</dcterms:created>
  <dcterms:modified xsi:type="dcterms:W3CDTF">2019-07-09T02:58:00Z</dcterms:modified>
</cp:coreProperties>
</file>