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F46" w:rsidRPr="00D64BBC" w:rsidRDefault="00D64BBC" w:rsidP="00D64BBC">
      <w:pPr>
        <w:pStyle w:val="3"/>
        <w:jc w:val="center"/>
        <w:rPr>
          <w:rFonts w:eastAsia="楷体_GB2312" w:hint="eastAsia"/>
          <w:sz w:val="32"/>
        </w:rPr>
      </w:pPr>
      <w:r w:rsidRPr="00D64BBC">
        <w:rPr>
          <w:rFonts w:eastAsia="楷体_GB2312" w:hint="eastAsia"/>
          <w:sz w:val="32"/>
        </w:rPr>
        <w:t>证券期货业反洗</w:t>
      </w:r>
      <w:proofErr w:type="gramStart"/>
      <w:r w:rsidRPr="00D64BBC">
        <w:rPr>
          <w:rFonts w:eastAsia="楷体_GB2312" w:hint="eastAsia"/>
          <w:sz w:val="32"/>
        </w:rPr>
        <w:t>钱工作</w:t>
      </w:r>
      <w:proofErr w:type="gramEnd"/>
      <w:r w:rsidRPr="00D64BBC">
        <w:rPr>
          <w:rFonts w:eastAsia="楷体_GB2312" w:hint="eastAsia"/>
          <w:sz w:val="32"/>
        </w:rPr>
        <w:t>实施办法</w:t>
      </w:r>
    </w:p>
    <w:p w:rsidR="00D64BBC" w:rsidRPr="00D64BBC" w:rsidRDefault="00D64BBC" w:rsidP="00D64BBC">
      <w:pPr>
        <w:widowControl/>
        <w:shd w:val="clear" w:color="auto" w:fill="FFFFFF"/>
        <w:spacing w:line="480" w:lineRule="auto"/>
        <w:jc w:val="center"/>
        <w:rPr>
          <w:rFonts w:ascii="inherit" w:eastAsia="宋体" w:hAnsi="inherit" w:cs="宋体"/>
          <w:color w:val="333333"/>
          <w:kern w:val="0"/>
          <w:szCs w:val="21"/>
        </w:rPr>
      </w:pPr>
      <w:r w:rsidRPr="00D64BBC">
        <w:rPr>
          <w:rFonts w:ascii="inherit" w:eastAsia="宋体" w:hAnsi="inherit" w:cs="宋体"/>
          <w:color w:val="333333"/>
          <w:kern w:val="0"/>
          <w:szCs w:val="21"/>
        </w:rPr>
        <w:t>（</w:t>
      </w:r>
      <w:r w:rsidRPr="00D64BBC">
        <w:rPr>
          <w:rFonts w:ascii="inherit" w:eastAsia="宋体" w:hAnsi="inherit" w:cs="宋体"/>
          <w:color w:val="333333"/>
          <w:kern w:val="0"/>
          <w:szCs w:val="21"/>
        </w:rPr>
        <w:t>2010</w:t>
      </w:r>
      <w:r w:rsidRPr="00D64BBC">
        <w:rPr>
          <w:rFonts w:ascii="inherit" w:eastAsia="宋体" w:hAnsi="inherit" w:cs="宋体"/>
          <w:color w:val="333333"/>
          <w:kern w:val="0"/>
          <w:szCs w:val="21"/>
        </w:rPr>
        <w:t>年</w:t>
      </w:r>
      <w:r w:rsidRPr="00D64BBC">
        <w:rPr>
          <w:rFonts w:ascii="inherit" w:eastAsia="宋体" w:hAnsi="inherit" w:cs="宋体"/>
          <w:color w:val="333333"/>
          <w:kern w:val="0"/>
          <w:szCs w:val="21"/>
        </w:rPr>
        <w:t>9</w:t>
      </w:r>
      <w:r w:rsidRPr="00D64BBC">
        <w:rPr>
          <w:rFonts w:ascii="inherit" w:eastAsia="宋体" w:hAnsi="inherit" w:cs="宋体"/>
          <w:color w:val="333333"/>
          <w:kern w:val="0"/>
          <w:szCs w:val="21"/>
        </w:rPr>
        <w:t>月</w:t>
      </w:r>
      <w:r w:rsidRPr="00D64BBC">
        <w:rPr>
          <w:rFonts w:ascii="inherit" w:eastAsia="宋体" w:hAnsi="inherit" w:cs="宋体"/>
          <w:color w:val="333333"/>
          <w:kern w:val="0"/>
          <w:szCs w:val="21"/>
        </w:rPr>
        <w:t>1</w:t>
      </w:r>
      <w:r w:rsidRPr="00D64BBC">
        <w:rPr>
          <w:rFonts w:ascii="inherit" w:eastAsia="宋体" w:hAnsi="inherit" w:cs="宋体"/>
          <w:color w:val="333333"/>
          <w:kern w:val="0"/>
          <w:szCs w:val="21"/>
        </w:rPr>
        <w:t>日证监会令第</w:t>
      </w:r>
      <w:r w:rsidRPr="00D64BBC">
        <w:rPr>
          <w:rFonts w:ascii="inherit" w:eastAsia="宋体" w:hAnsi="inherit" w:cs="宋体"/>
          <w:color w:val="333333"/>
          <w:kern w:val="0"/>
          <w:szCs w:val="21"/>
        </w:rPr>
        <w:t>68</w:t>
      </w:r>
      <w:r w:rsidRPr="00D64BBC">
        <w:rPr>
          <w:rFonts w:ascii="inherit" w:eastAsia="宋体" w:hAnsi="inherit" w:cs="宋体"/>
          <w:color w:val="333333"/>
          <w:kern w:val="0"/>
          <w:szCs w:val="21"/>
        </w:rPr>
        <w:t>号）</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 </w:t>
      </w:r>
      <w:r w:rsidRPr="00D64BBC">
        <w:rPr>
          <w:rFonts w:ascii="inherit" w:eastAsia="宋体" w:hAnsi="inherit" w:cs="宋体"/>
          <w:color w:val="333333"/>
          <w:kern w:val="0"/>
          <w:szCs w:val="21"/>
        </w:rPr>
        <w:t>《证券期货业反洗钱工作实施办法》已经</w:t>
      </w:r>
      <w:r w:rsidRPr="00D64BBC">
        <w:rPr>
          <w:rFonts w:ascii="inherit" w:eastAsia="宋体" w:hAnsi="inherit" w:cs="宋体"/>
          <w:color w:val="333333"/>
          <w:kern w:val="0"/>
          <w:szCs w:val="21"/>
        </w:rPr>
        <w:t>2010</w:t>
      </w:r>
      <w:r w:rsidRPr="00D64BBC">
        <w:rPr>
          <w:rFonts w:ascii="inherit" w:eastAsia="宋体" w:hAnsi="inherit" w:cs="宋体"/>
          <w:color w:val="333333"/>
          <w:kern w:val="0"/>
          <w:szCs w:val="21"/>
        </w:rPr>
        <w:t>年</w:t>
      </w:r>
      <w:r w:rsidRPr="00D64BBC">
        <w:rPr>
          <w:rFonts w:ascii="inherit" w:eastAsia="宋体" w:hAnsi="inherit" w:cs="宋体"/>
          <w:color w:val="333333"/>
          <w:kern w:val="0"/>
          <w:szCs w:val="21"/>
        </w:rPr>
        <w:t>2</w:t>
      </w:r>
      <w:r w:rsidRPr="00D64BBC">
        <w:rPr>
          <w:rFonts w:ascii="inherit" w:eastAsia="宋体" w:hAnsi="inherit" w:cs="宋体"/>
          <w:color w:val="333333"/>
          <w:kern w:val="0"/>
          <w:szCs w:val="21"/>
        </w:rPr>
        <w:t>月</w:t>
      </w:r>
      <w:r w:rsidRPr="00D64BBC">
        <w:rPr>
          <w:rFonts w:ascii="inherit" w:eastAsia="宋体" w:hAnsi="inherit" w:cs="宋体"/>
          <w:color w:val="333333"/>
          <w:kern w:val="0"/>
          <w:szCs w:val="21"/>
        </w:rPr>
        <w:t>11</w:t>
      </w:r>
      <w:r w:rsidRPr="00D64BBC">
        <w:rPr>
          <w:rFonts w:ascii="inherit" w:eastAsia="宋体" w:hAnsi="inherit" w:cs="宋体"/>
          <w:color w:val="333333"/>
          <w:kern w:val="0"/>
          <w:szCs w:val="21"/>
        </w:rPr>
        <w:t>日中国证券监督管理委员会第</w:t>
      </w:r>
      <w:r w:rsidRPr="00D64BBC">
        <w:rPr>
          <w:rFonts w:ascii="inherit" w:eastAsia="宋体" w:hAnsi="inherit" w:cs="宋体"/>
          <w:color w:val="333333"/>
          <w:kern w:val="0"/>
          <w:szCs w:val="21"/>
        </w:rPr>
        <w:t>269</w:t>
      </w:r>
      <w:r w:rsidRPr="00D64BBC">
        <w:rPr>
          <w:rFonts w:ascii="inherit" w:eastAsia="宋体" w:hAnsi="inherit" w:cs="宋体"/>
          <w:color w:val="333333"/>
          <w:kern w:val="0"/>
          <w:szCs w:val="21"/>
        </w:rPr>
        <w:t>次主席办公会审议通过，现予公布，自</w:t>
      </w:r>
      <w:r w:rsidRPr="00D64BBC">
        <w:rPr>
          <w:rFonts w:ascii="inherit" w:eastAsia="宋体" w:hAnsi="inherit" w:cs="宋体"/>
          <w:color w:val="333333"/>
          <w:kern w:val="0"/>
          <w:szCs w:val="21"/>
        </w:rPr>
        <w:t>2010</w:t>
      </w:r>
      <w:r w:rsidRPr="00D64BBC">
        <w:rPr>
          <w:rFonts w:ascii="inherit" w:eastAsia="宋体" w:hAnsi="inherit" w:cs="宋体"/>
          <w:color w:val="333333"/>
          <w:kern w:val="0"/>
          <w:szCs w:val="21"/>
        </w:rPr>
        <w:t>年</w:t>
      </w:r>
      <w:r w:rsidRPr="00D64BBC">
        <w:rPr>
          <w:rFonts w:ascii="inherit" w:eastAsia="宋体" w:hAnsi="inherit" w:cs="宋体"/>
          <w:color w:val="333333"/>
          <w:kern w:val="0"/>
          <w:szCs w:val="21"/>
        </w:rPr>
        <w:t>10</w:t>
      </w:r>
      <w:r w:rsidRPr="00D64BBC">
        <w:rPr>
          <w:rFonts w:ascii="inherit" w:eastAsia="宋体" w:hAnsi="inherit" w:cs="宋体"/>
          <w:color w:val="333333"/>
          <w:kern w:val="0"/>
          <w:szCs w:val="21"/>
        </w:rPr>
        <w:t>月</w:t>
      </w:r>
      <w:r w:rsidRPr="00D64BBC">
        <w:rPr>
          <w:rFonts w:ascii="inherit" w:eastAsia="宋体" w:hAnsi="inherit" w:cs="宋体"/>
          <w:color w:val="333333"/>
          <w:kern w:val="0"/>
          <w:szCs w:val="21"/>
        </w:rPr>
        <w:t>1</w:t>
      </w:r>
      <w:r w:rsidRPr="00D64BBC">
        <w:rPr>
          <w:rFonts w:ascii="inherit" w:eastAsia="宋体" w:hAnsi="inherit" w:cs="宋体"/>
          <w:color w:val="333333"/>
          <w:kern w:val="0"/>
          <w:szCs w:val="21"/>
        </w:rPr>
        <w:t>日起施行。</w:t>
      </w:r>
      <w:r w:rsidRPr="00D64BBC">
        <w:rPr>
          <w:rFonts w:ascii="inherit" w:eastAsia="宋体" w:hAnsi="inherit" w:cs="宋体"/>
          <w:color w:val="333333"/>
          <w:kern w:val="0"/>
          <w:szCs w:val="21"/>
        </w:rPr>
        <w:t xml:space="preserve"> </w:t>
      </w:r>
    </w:p>
    <w:p w:rsidR="00D64BBC" w:rsidRPr="00D64BBC" w:rsidRDefault="00D64BBC" w:rsidP="00D64BBC">
      <w:pPr>
        <w:widowControl/>
        <w:shd w:val="clear" w:color="auto" w:fill="FFFFFF"/>
        <w:spacing w:line="480" w:lineRule="auto"/>
        <w:jc w:val="center"/>
        <w:rPr>
          <w:rFonts w:ascii="inherit" w:eastAsia="宋体" w:hAnsi="inherit" w:cs="宋体"/>
          <w:color w:val="333333"/>
          <w:kern w:val="0"/>
          <w:szCs w:val="21"/>
        </w:rPr>
      </w:pPr>
      <w:r w:rsidRPr="00D64BBC">
        <w:rPr>
          <w:rFonts w:ascii="黑体" w:eastAsia="黑体" w:hAnsi="黑体" w:cs="宋体"/>
          <w:color w:val="333333"/>
          <w:kern w:val="0"/>
          <w:sz w:val="24"/>
          <w:szCs w:val="24"/>
        </w:rPr>
        <w:t>第一章 总则</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第一条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为进一步配合国务院反洗钱行政主管部门加强证券期货业反洗钱工作，有效防范证券期货业洗钱和恐怖融资风险，规范行业反洗钱监管行为，推动证券期货经营机构认真落实反洗钱工作，维护证券期货市场秩序，根据《中华人民共和国反洗钱法》（以下简称《反洗钱法》）、《中华人民共和国证券法》、《中华人民共和国证券投资基金法》及《期货交易管理条例》等法律法规，制定本办法。</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第二条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本办法适用于中华人民共和国境内的证券期货业反洗钱工作。</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从事基金销售业务的机构在基金销售业务中履行反洗钱责任适用本办法。</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第三条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中国证券监督管理委员会（以下简称证监会）依法配合国务院反洗钱行政主管部门履行证券期货业反洗钱监管职责，制定证券期货业反洗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的规章制度，组织、协调、指导证券公司、期货公司和基金管理公司（以下简称证券期货经营机构）的反洗钱工作。</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证监会派出机构按照本办法的规定，履行辖区内证券期货业反洗钱监管职责。</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第四条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中国证券业协会和中国期货业协会依照本办法的规定，履行证券期货业反洗钱自律管理职责。</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第五条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证券期货经营机构应当依法建立健全反洗钱工作制度，按照本办法规定向当地证监会派出机构报送相关信息。证券期货经营机构发现证券期货业内涉嫌洗钱活动线索，应当依法向反洗钱行政主管部门、</w:t>
      </w:r>
      <w:proofErr w:type="gramStart"/>
      <w:r w:rsidRPr="00D64BBC">
        <w:rPr>
          <w:rFonts w:ascii="inherit" w:eastAsia="宋体" w:hAnsi="inherit" w:cs="宋体"/>
          <w:color w:val="333333"/>
          <w:kern w:val="0"/>
          <w:szCs w:val="21"/>
        </w:rPr>
        <w:t>侦查机</w:t>
      </w:r>
      <w:proofErr w:type="gramEnd"/>
      <w:r w:rsidRPr="00D64BBC">
        <w:rPr>
          <w:rFonts w:ascii="inherit" w:eastAsia="宋体" w:hAnsi="inherit" w:cs="宋体"/>
          <w:color w:val="333333"/>
          <w:kern w:val="0"/>
          <w:szCs w:val="21"/>
        </w:rPr>
        <w:t>关举报。</w:t>
      </w:r>
    </w:p>
    <w:p w:rsidR="00D64BBC" w:rsidRPr="00D64BBC" w:rsidRDefault="00D64BBC" w:rsidP="00D64BBC">
      <w:pPr>
        <w:widowControl/>
        <w:shd w:val="clear" w:color="auto" w:fill="FFFFFF"/>
        <w:spacing w:line="480" w:lineRule="auto"/>
        <w:jc w:val="center"/>
        <w:rPr>
          <w:rFonts w:ascii="inherit" w:eastAsia="宋体" w:hAnsi="inherit" w:cs="宋体"/>
          <w:color w:val="333333"/>
          <w:kern w:val="0"/>
          <w:szCs w:val="21"/>
        </w:rPr>
      </w:pPr>
      <w:r w:rsidRPr="00D64BBC">
        <w:rPr>
          <w:rFonts w:ascii="黑体" w:eastAsia="黑体" w:hAnsi="黑体" w:cs="宋体"/>
          <w:color w:val="333333"/>
          <w:kern w:val="0"/>
          <w:sz w:val="24"/>
          <w:szCs w:val="24"/>
        </w:rPr>
        <w:lastRenderedPageBreak/>
        <w:t>第二章 监管机构及行业协会职责</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第六条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证监会负责组织、协调、指导证券期货业的反洗钱工作，履行以下反洗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职责：</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（一）配合国务院反洗钱行政主管部门研究制定证券期货业反洗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的政策、规划，研究解决证券期货业反洗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重大和疑难问题，及时向国务院反洗钱行政主管部门通报反洗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信息；</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（二）参与制定证券期货经营机构反洗钱有关规章，对证券期货经营机构提出建立健全反洗钱内控制度的要求，在证券期货经营机构市场准入和人员任职方面贯彻反洗钱要求；</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（三）配合国务院反洗钱行政主管部门对证券期货经营机构实施反洗钱监管；</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（四）会同国务院反洗钱行政主管部门指导中国证券业协会、中国期货业协会制定反洗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指引，开展反洗钱宣传和培训；</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（五）研究证券期货业反洗钱的重大问题并提出政策建议；</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（六）及时向</w:t>
      </w:r>
      <w:proofErr w:type="gramStart"/>
      <w:r w:rsidRPr="00D64BBC">
        <w:rPr>
          <w:rFonts w:ascii="inherit" w:eastAsia="宋体" w:hAnsi="inherit" w:cs="宋体"/>
          <w:color w:val="333333"/>
          <w:kern w:val="0"/>
          <w:szCs w:val="21"/>
        </w:rPr>
        <w:t>侦查机关报告</w:t>
      </w:r>
      <w:proofErr w:type="gramEnd"/>
      <w:r w:rsidRPr="00D64BBC">
        <w:rPr>
          <w:rFonts w:ascii="inherit" w:eastAsia="宋体" w:hAnsi="inherit" w:cs="宋体"/>
          <w:color w:val="333333"/>
          <w:kern w:val="0"/>
          <w:szCs w:val="21"/>
        </w:rPr>
        <w:t>涉嫌洗钱犯罪的交易活动，协助司法部门调查处理涉嫌洗钱犯罪案件；</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（七）对派出机构落实反洗钱监管工作情况进行考评，对中国证券业协会、中国期货业协会落实反洗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进行指导；</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（八）法律、行政法规规定的其他职责。</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第七条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证监会派出机构履行以下反洗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职责：</w:t>
      </w:r>
      <w:r w:rsidRPr="00D64BBC">
        <w:rPr>
          <w:rFonts w:ascii="inherit" w:eastAsia="宋体" w:hAnsi="inherit" w:cs="宋体"/>
          <w:color w:val="333333"/>
          <w:kern w:val="0"/>
          <w:szCs w:val="21"/>
        </w:rPr>
        <w:t xml:space="preserve"> </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（一）配合当地反洗钱行政主管部门对辖区证券期货经营机构实施反洗钱监管，并建立信息交流机制；</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（二）定期向证监会报送辖区内半年度和年度反洗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情况，及时报告辖区证券期货经营机构受反洗钱行政主管部门检查或处罚等信息及相关重大事件；</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（三）组织、指导辖区证券期货业的反洗</w:t>
      </w:r>
      <w:proofErr w:type="gramStart"/>
      <w:r w:rsidRPr="00D64BBC">
        <w:rPr>
          <w:rFonts w:ascii="inherit" w:eastAsia="宋体" w:hAnsi="inherit" w:cs="宋体"/>
          <w:color w:val="333333"/>
          <w:kern w:val="0"/>
          <w:szCs w:val="21"/>
        </w:rPr>
        <w:t>钱培训</w:t>
      </w:r>
      <w:proofErr w:type="gramEnd"/>
      <w:r w:rsidRPr="00D64BBC">
        <w:rPr>
          <w:rFonts w:ascii="inherit" w:eastAsia="宋体" w:hAnsi="inherit" w:cs="宋体"/>
          <w:color w:val="333333"/>
          <w:kern w:val="0"/>
          <w:szCs w:val="21"/>
        </w:rPr>
        <w:t>和宣传工作；</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lastRenderedPageBreak/>
        <w:t>（四）研究辖区证券期货业反洗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问题，并提出改进措施；</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（五）法律、行政法规以及证监会规定的其他职责。</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第八条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中国证券业协会、中国期货业协会履行以下反洗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职责：</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（一）在证监会的指导下，制定和修改行业反洗钱相关工作指引；</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（二）组织会员单位开展反洗</w:t>
      </w:r>
      <w:proofErr w:type="gramStart"/>
      <w:r w:rsidRPr="00D64BBC">
        <w:rPr>
          <w:rFonts w:ascii="inherit" w:eastAsia="宋体" w:hAnsi="inherit" w:cs="宋体"/>
          <w:color w:val="333333"/>
          <w:kern w:val="0"/>
          <w:szCs w:val="21"/>
        </w:rPr>
        <w:t>钱培训</w:t>
      </w:r>
      <w:proofErr w:type="gramEnd"/>
      <w:r w:rsidRPr="00D64BBC">
        <w:rPr>
          <w:rFonts w:ascii="inherit" w:eastAsia="宋体" w:hAnsi="inherit" w:cs="宋体"/>
          <w:color w:val="333333"/>
          <w:kern w:val="0"/>
          <w:szCs w:val="21"/>
        </w:rPr>
        <w:t>和宣传工作；</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（三）定期向证监会报送协会年度反洗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报告，及时报告相关重大事件；</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（四）组织会员单位研究行业反洗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的相关问题；</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（五）法律、行政法规以及证监会规定的其他职责。</w:t>
      </w:r>
    </w:p>
    <w:p w:rsidR="00D64BBC" w:rsidRPr="00D64BBC" w:rsidRDefault="00D64BBC" w:rsidP="00D64BBC">
      <w:pPr>
        <w:widowControl/>
        <w:shd w:val="clear" w:color="auto" w:fill="FFFFFF"/>
        <w:spacing w:line="480" w:lineRule="auto"/>
        <w:jc w:val="center"/>
        <w:rPr>
          <w:rFonts w:ascii="inherit" w:eastAsia="宋体" w:hAnsi="inherit" w:cs="宋体"/>
          <w:color w:val="333333"/>
          <w:kern w:val="0"/>
          <w:szCs w:val="21"/>
        </w:rPr>
      </w:pPr>
      <w:r w:rsidRPr="00D64BBC">
        <w:rPr>
          <w:rFonts w:ascii="黑体" w:eastAsia="黑体" w:hAnsi="黑体" w:cs="宋体"/>
          <w:color w:val="333333"/>
          <w:kern w:val="0"/>
          <w:sz w:val="24"/>
          <w:szCs w:val="24"/>
        </w:rPr>
        <w:t>第三章 证券期货经营机构反洗钱义务</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第九条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证券期货经营机构应当依法履行反洗钱义务，建立健全反洗</w:t>
      </w:r>
      <w:proofErr w:type="gramStart"/>
      <w:r w:rsidRPr="00D64BBC">
        <w:rPr>
          <w:rFonts w:ascii="inherit" w:eastAsia="宋体" w:hAnsi="inherit" w:cs="宋体"/>
          <w:color w:val="333333"/>
          <w:kern w:val="0"/>
          <w:szCs w:val="21"/>
        </w:rPr>
        <w:t>钱内部</w:t>
      </w:r>
      <w:proofErr w:type="gramEnd"/>
      <w:r w:rsidRPr="00D64BBC">
        <w:rPr>
          <w:rFonts w:ascii="inherit" w:eastAsia="宋体" w:hAnsi="inherit" w:cs="宋体"/>
          <w:color w:val="333333"/>
          <w:kern w:val="0"/>
          <w:szCs w:val="21"/>
        </w:rPr>
        <w:t>控制制度。证券期货经营机构负责人应当对反洗</w:t>
      </w:r>
      <w:proofErr w:type="gramStart"/>
      <w:r w:rsidRPr="00D64BBC">
        <w:rPr>
          <w:rFonts w:ascii="inherit" w:eastAsia="宋体" w:hAnsi="inherit" w:cs="宋体"/>
          <w:color w:val="333333"/>
          <w:kern w:val="0"/>
          <w:szCs w:val="21"/>
        </w:rPr>
        <w:t>钱内部</w:t>
      </w:r>
      <w:proofErr w:type="gramEnd"/>
      <w:r w:rsidRPr="00D64BBC">
        <w:rPr>
          <w:rFonts w:ascii="inherit" w:eastAsia="宋体" w:hAnsi="inherit" w:cs="宋体"/>
          <w:color w:val="333333"/>
          <w:kern w:val="0"/>
          <w:szCs w:val="21"/>
        </w:rPr>
        <w:t>控制制度的有效实施负责，总部应当对分支机构执行反洗</w:t>
      </w:r>
      <w:proofErr w:type="gramStart"/>
      <w:r w:rsidRPr="00D64BBC">
        <w:rPr>
          <w:rFonts w:ascii="inherit" w:eastAsia="宋体" w:hAnsi="inherit" w:cs="宋体"/>
          <w:color w:val="333333"/>
          <w:kern w:val="0"/>
          <w:szCs w:val="21"/>
        </w:rPr>
        <w:t>钱内部</w:t>
      </w:r>
      <w:proofErr w:type="gramEnd"/>
      <w:r w:rsidRPr="00D64BBC">
        <w:rPr>
          <w:rFonts w:ascii="inherit" w:eastAsia="宋体" w:hAnsi="inherit" w:cs="宋体"/>
          <w:color w:val="333333"/>
          <w:kern w:val="0"/>
          <w:szCs w:val="21"/>
        </w:rPr>
        <w:t>控制制度进行监督管理，根据要求向当地证监会派出机构报告反洗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开展情况。</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第十条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证券期货经营机构应当向当地证监会派出机构报送其内部反洗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部门设置、负责人及专门负责反洗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的人员的联系方式等相关信息。如有变更，应当自变更之日起</w:t>
      </w:r>
      <w:r w:rsidRPr="00D64BBC">
        <w:rPr>
          <w:rFonts w:ascii="inherit" w:eastAsia="宋体" w:hAnsi="inherit" w:cs="宋体"/>
          <w:color w:val="333333"/>
          <w:kern w:val="0"/>
          <w:szCs w:val="21"/>
        </w:rPr>
        <w:t>10</w:t>
      </w:r>
      <w:r w:rsidRPr="00D64BBC">
        <w:rPr>
          <w:rFonts w:ascii="inherit" w:eastAsia="宋体" w:hAnsi="inherit" w:cs="宋体"/>
          <w:color w:val="333333"/>
          <w:kern w:val="0"/>
          <w:szCs w:val="21"/>
        </w:rPr>
        <w:t>个工作日内报送更新后的相关信息。</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第十一条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证券期货经营机构应当在发现以下事项发生后的</w:t>
      </w:r>
      <w:r w:rsidRPr="00D64BBC">
        <w:rPr>
          <w:rFonts w:ascii="inherit" w:eastAsia="宋体" w:hAnsi="inherit" w:cs="宋体"/>
          <w:color w:val="333333"/>
          <w:kern w:val="0"/>
          <w:szCs w:val="21"/>
        </w:rPr>
        <w:t>5</w:t>
      </w:r>
      <w:r w:rsidRPr="00D64BBC">
        <w:rPr>
          <w:rFonts w:ascii="inherit" w:eastAsia="宋体" w:hAnsi="inherit" w:cs="宋体"/>
          <w:color w:val="333333"/>
          <w:kern w:val="0"/>
          <w:szCs w:val="21"/>
        </w:rPr>
        <w:t>个工作日内，以书面方式向当地证监会派出机构报告：</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（一）证券期货经营机构受到反洗钱行政主管部门检查或处罚的；</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（二）证券期货经营机构或其客户从事或涉嫌从事洗钱活动，被反洗钱行政主管部门、</w:t>
      </w:r>
      <w:proofErr w:type="gramStart"/>
      <w:r w:rsidRPr="00D64BBC">
        <w:rPr>
          <w:rFonts w:ascii="inherit" w:eastAsia="宋体" w:hAnsi="inherit" w:cs="宋体"/>
          <w:color w:val="333333"/>
          <w:kern w:val="0"/>
          <w:szCs w:val="21"/>
        </w:rPr>
        <w:t>侦查机关或者</w:t>
      </w:r>
      <w:proofErr w:type="gramEnd"/>
      <w:r w:rsidRPr="00D64BBC">
        <w:rPr>
          <w:rFonts w:ascii="inherit" w:eastAsia="宋体" w:hAnsi="inherit" w:cs="宋体"/>
          <w:color w:val="333333"/>
          <w:kern w:val="0"/>
          <w:szCs w:val="21"/>
        </w:rPr>
        <w:t>司法机关处罚的；</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（三）其他涉及反洗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的重大事项。</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lastRenderedPageBreak/>
        <w:t>第十二条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证券期货经营机构应当按照反洗</w:t>
      </w:r>
      <w:proofErr w:type="gramStart"/>
      <w:r w:rsidRPr="00D64BBC">
        <w:rPr>
          <w:rFonts w:ascii="inherit" w:eastAsia="宋体" w:hAnsi="inherit" w:cs="宋体"/>
          <w:color w:val="333333"/>
          <w:kern w:val="0"/>
          <w:szCs w:val="21"/>
        </w:rPr>
        <w:t>钱法律</w:t>
      </w:r>
      <w:proofErr w:type="gramEnd"/>
      <w:r w:rsidRPr="00D64BBC">
        <w:rPr>
          <w:rFonts w:ascii="inherit" w:eastAsia="宋体" w:hAnsi="inherit" w:cs="宋体"/>
          <w:color w:val="333333"/>
          <w:kern w:val="0"/>
          <w:szCs w:val="21"/>
        </w:rPr>
        <w:t>法规的要求及时建立客户风险等级划分制度，并报当地证监会派出机构备案。在持续关注的基础上，应适时调整客户风险等级。</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第十三条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证券期货经营机构在为客户办理业务过程中，发现客户所提供的个人身份证件或机构资料涉嫌虚假记载的，应当拒绝办理；发现存在可疑之处的，应当要求客户补充提供个人身份证件或机构原件等足以证实其身份的相关证明材料，无法证实的，应当拒绝办理。</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第十四条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证券期货经营机构通过销售机构向客户销售基金等金融产品时，应当通过合同、协议或其他书面文件</w:t>
      </w:r>
      <w:r w:rsidRPr="00D64BBC">
        <w:rPr>
          <w:rFonts w:ascii="inherit" w:eastAsia="宋体" w:hAnsi="inherit" w:cs="宋体"/>
          <w:color w:val="333333"/>
          <w:kern w:val="0"/>
          <w:szCs w:val="21"/>
        </w:rPr>
        <w:t>,</w:t>
      </w:r>
      <w:r w:rsidRPr="00D64BBC">
        <w:rPr>
          <w:rFonts w:ascii="inherit" w:eastAsia="宋体" w:hAnsi="inherit" w:cs="宋体"/>
          <w:color w:val="333333"/>
          <w:kern w:val="0"/>
          <w:szCs w:val="21"/>
        </w:rPr>
        <w:t>明确双方在客户身份识别、客户身份资料和交易记录保存与信息交换、大额交易和可疑交易报告等方面的反洗钱职责和程序。</w:t>
      </w:r>
      <w:r w:rsidRPr="00D64BBC">
        <w:rPr>
          <w:rFonts w:ascii="inherit" w:eastAsia="宋体" w:hAnsi="inherit" w:cs="宋体"/>
          <w:color w:val="333333"/>
          <w:kern w:val="0"/>
          <w:szCs w:val="21"/>
        </w:rPr>
        <w:t xml:space="preserve"> </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第十五条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证券期货经营机构应当建立反洗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保密制度，并报当地证监会派出机构备案。</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保密事项包括以下内容：</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（一）客户身份资料及客户风险等级划分资料；</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（二）交易记录；</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（三）大额交易报告；</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（四）可疑交易报告；</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（五）履行反洗</w:t>
      </w:r>
      <w:proofErr w:type="gramStart"/>
      <w:r w:rsidRPr="00D64BBC">
        <w:rPr>
          <w:rFonts w:ascii="inherit" w:eastAsia="宋体" w:hAnsi="inherit" w:cs="宋体"/>
          <w:color w:val="333333"/>
          <w:kern w:val="0"/>
          <w:szCs w:val="21"/>
        </w:rPr>
        <w:t>钱义务</w:t>
      </w:r>
      <w:proofErr w:type="gramEnd"/>
      <w:r w:rsidRPr="00D64BBC">
        <w:rPr>
          <w:rFonts w:ascii="inherit" w:eastAsia="宋体" w:hAnsi="inherit" w:cs="宋体"/>
          <w:color w:val="333333"/>
          <w:kern w:val="0"/>
          <w:szCs w:val="21"/>
        </w:rPr>
        <w:t>所知悉的国家执法部门调查涉嫌洗钱活动的信息；</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（六）其他涉及反洗</w:t>
      </w:r>
      <w:proofErr w:type="gramStart"/>
      <w:r w:rsidRPr="00D64BBC">
        <w:rPr>
          <w:rFonts w:ascii="inherit" w:eastAsia="宋体" w:hAnsi="inherit" w:cs="宋体"/>
          <w:color w:val="333333"/>
          <w:kern w:val="0"/>
          <w:szCs w:val="21"/>
        </w:rPr>
        <w:t>钱工作</w:t>
      </w:r>
      <w:proofErr w:type="gramEnd"/>
      <w:r w:rsidRPr="00D64BBC">
        <w:rPr>
          <w:rFonts w:ascii="inherit" w:eastAsia="宋体" w:hAnsi="inherit" w:cs="宋体"/>
          <w:color w:val="333333"/>
          <w:kern w:val="0"/>
          <w:szCs w:val="21"/>
        </w:rPr>
        <w:t>的保密事项。</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查阅、复制涉密档案应当实施书面登记制度。</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第十六条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证券期货经营机构应当建立反洗钱培训、宣传制度，每年开展对单位员工的反洗</w:t>
      </w:r>
      <w:proofErr w:type="gramStart"/>
      <w:r w:rsidRPr="00D64BBC">
        <w:rPr>
          <w:rFonts w:ascii="inherit" w:eastAsia="宋体" w:hAnsi="inherit" w:cs="宋体"/>
          <w:color w:val="333333"/>
          <w:kern w:val="0"/>
          <w:szCs w:val="21"/>
        </w:rPr>
        <w:t>钱培训</w:t>
      </w:r>
      <w:proofErr w:type="gramEnd"/>
      <w:r w:rsidRPr="00D64BBC">
        <w:rPr>
          <w:rFonts w:ascii="inherit" w:eastAsia="宋体" w:hAnsi="inherit" w:cs="宋体"/>
          <w:color w:val="333333"/>
          <w:kern w:val="0"/>
          <w:szCs w:val="21"/>
        </w:rPr>
        <w:t>工作和对客户的反洗钱宣传工作，持续完善反洗钱的预防和监控措施。每年年初，应当向当地证监会派出机构上报反洗</w:t>
      </w:r>
      <w:proofErr w:type="gramStart"/>
      <w:r w:rsidRPr="00D64BBC">
        <w:rPr>
          <w:rFonts w:ascii="inherit" w:eastAsia="宋体" w:hAnsi="inherit" w:cs="宋体"/>
          <w:color w:val="333333"/>
          <w:kern w:val="0"/>
          <w:szCs w:val="21"/>
        </w:rPr>
        <w:t>钱培训</w:t>
      </w:r>
      <w:proofErr w:type="gramEnd"/>
      <w:r w:rsidRPr="00D64BBC">
        <w:rPr>
          <w:rFonts w:ascii="inherit" w:eastAsia="宋体" w:hAnsi="inherit" w:cs="宋体"/>
          <w:color w:val="333333"/>
          <w:kern w:val="0"/>
          <w:szCs w:val="21"/>
        </w:rPr>
        <w:t>和宣传的落实情况。</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第十七条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证券期货经营机构不遵守本办法有关报告、备案或建立相关内控制度等规定的，证监会及其派出机构可采取责令改正、监管谈话或责令参加培训等监管措施。</w:t>
      </w:r>
    </w:p>
    <w:p w:rsidR="00D64BBC" w:rsidRPr="00D64BBC" w:rsidRDefault="00D64BBC" w:rsidP="00D64BBC">
      <w:pPr>
        <w:widowControl/>
        <w:shd w:val="clear" w:color="auto" w:fill="FFFFFF"/>
        <w:spacing w:line="480" w:lineRule="auto"/>
        <w:jc w:val="center"/>
        <w:rPr>
          <w:rFonts w:ascii="inherit" w:eastAsia="宋体" w:hAnsi="inherit" w:cs="宋体"/>
          <w:color w:val="333333"/>
          <w:kern w:val="0"/>
          <w:szCs w:val="21"/>
        </w:rPr>
      </w:pPr>
      <w:r w:rsidRPr="00D64BBC">
        <w:rPr>
          <w:rFonts w:ascii="黑体" w:eastAsia="黑体" w:hAnsi="黑体" w:cs="宋体"/>
          <w:color w:val="333333"/>
          <w:kern w:val="0"/>
          <w:sz w:val="24"/>
          <w:szCs w:val="24"/>
        </w:rPr>
        <w:lastRenderedPageBreak/>
        <w:t>第四章 附则</w:t>
      </w:r>
    </w:p>
    <w:p w:rsidR="00D64BBC" w:rsidRPr="00D64BBC" w:rsidRDefault="00D64BBC" w:rsidP="00D64BBC">
      <w:pPr>
        <w:widowControl/>
        <w:shd w:val="clear" w:color="auto" w:fill="FFFFFF"/>
        <w:spacing w:line="480" w:lineRule="auto"/>
        <w:jc w:val="left"/>
        <w:rPr>
          <w:rFonts w:ascii="inherit" w:eastAsia="宋体" w:hAnsi="inherit" w:cs="宋体"/>
          <w:color w:val="333333"/>
          <w:kern w:val="0"/>
          <w:szCs w:val="21"/>
        </w:rPr>
      </w:pPr>
      <w:r w:rsidRPr="00D64BBC">
        <w:rPr>
          <w:rFonts w:ascii="inherit" w:eastAsia="宋体" w:hAnsi="inherit" w:cs="宋体"/>
          <w:color w:val="333333"/>
          <w:kern w:val="0"/>
          <w:szCs w:val="21"/>
        </w:rPr>
        <w:t>第十八条</w:t>
      </w:r>
      <w:r w:rsidRPr="00D64BBC">
        <w:rPr>
          <w:rFonts w:ascii="inherit" w:eastAsia="宋体" w:hAnsi="inherit" w:cs="宋体"/>
          <w:color w:val="333333"/>
          <w:kern w:val="0"/>
          <w:szCs w:val="21"/>
        </w:rPr>
        <w:t xml:space="preserve"> </w:t>
      </w:r>
      <w:r w:rsidRPr="00D64BBC">
        <w:rPr>
          <w:rFonts w:ascii="inherit" w:eastAsia="宋体" w:hAnsi="inherit" w:cs="宋体"/>
          <w:color w:val="333333"/>
          <w:kern w:val="0"/>
          <w:szCs w:val="21"/>
        </w:rPr>
        <w:t>本办法自</w:t>
      </w:r>
      <w:r w:rsidRPr="00D64BBC">
        <w:rPr>
          <w:rFonts w:ascii="inherit" w:eastAsia="宋体" w:hAnsi="inherit" w:cs="宋体"/>
          <w:color w:val="333333"/>
          <w:kern w:val="0"/>
          <w:szCs w:val="21"/>
        </w:rPr>
        <w:t>2010</w:t>
      </w:r>
      <w:r w:rsidRPr="00D64BBC">
        <w:rPr>
          <w:rFonts w:ascii="inherit" w:eastAsia="宋体" w:hAnsi="inherit" w:cs="宋体"/>
          <w:color w:val="333333"/>
          <w:kern w:val="0"/>
          <w:szCs w:val="21"/>
        </w:rPr>
        <w:t>年</w:t>
      </w:r>
      <w:r w:rsidRPr="00D64BBC">
        <w:rPr>
          <w:rFonts w:ascii="inherit" w:eastAsia="宋体" w:hAnsi="inherit" w:cs="宋体"/>
          <w:color w:val="333333"/>
          <w:kern w:val="0"/>
          <w:szCs w:val="21"/>
        </w:rPr>
        <w:t>10</w:t>
      </w:r>
      <w:r w:rsidRPr="00D64BBC">
        <w:rPr>
          <w:rFonts w:ascii="inherit" w:eastAsia="宋体" w:hAnsi="inherit" w:cs="宋体"/>
          <w:color w:val="333333"/>
          <w:kern w:val="0"/>
          <w:szCs w:val="21"/>
        </w:rPr>
        <w:t>月</w:t>
      </w:r>
      <w:r w:rsidRPr="00D64BBC">
        <w:rPr>
          <w:rFonts w:ascii="inherit" w:eastAsia="宋体" w:hAnsi="inherit" w:cs="宋体"/>
          <w:color w:val="333333"/>
          <w:kern w:val="0"/>
          <w:szCs w:val="21"/>
        </w:rPr>
        <w:t>1</w:t>
      </w:r>
      <w:r w:rsidRPr="00D64BBC">
        <w:rPr>
          <w:rFonts w:ascii="inherit" w:eastAsia="宋体" w:hAnsi="inherit" w:cs="宋体"/>
          <w:color w:val="333333"/>
          <w:kern w:val="0"/>
          <w:szCs w:val="21"/>
        </w:rPr>
        <w:t>日起施行</w:t>
      </w:r>
    </w:p>
    <w:p w:rsidR="00D64BBC" w:rsidRPr="00D64BBC" w:rsidRDefault="00D64BBC"/>
    <w:sectPr w:rsidR="00D64BBC" w:rsidRPr="00D64BBC" w:rsidSect="00845C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default"/>
    <w:sig w:usb0="00000000" w:usb1="080E0000" w:usb2="0000000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4BBC"/>
    <w:rsid w:val="00845CBA"/>
    <w:rsid w:val="00D64BBC"/>
    <w:rsid w:val="00DA5CB0"/>
    <w:rsid w:val="00E970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CBA"/>
    <w:pPr>
      <w:widowControl w:val="0"/>
      <w:jc w:val="both"/>
    </w:pPr>
  </w:style>
  <w:style w:type="paragraph" w:styleId="3">
    <w:name w:val="heading 3"/>
    <w:basedOn w:val="a"/>
    <w:next w:val="a"/>
    <w:link w:val="3Char"/>
    <w:qFormat/>
    <w:rsid w:val="00D64BBC"/>
    <w:pPr>
      <w:keepNext/>
      <w:keepLines/>
      <w:spacing w:before="260" w:after="260" w:line="416" w:lineRule="auto"/>
      <w:outlineLvl w:val="2"/>
    </w:pPr>
    <w:rPr>
      <w:rFonts w:ascii="Times New Roman" w:eastAsia="宋体" w:hAnsi="Times New Roman" w:cs="Times New Roman"/>
      <w:b/>
      <w:bCs/>
      <w:sz w:val="24"/>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64BBC"/>
    <w:rPr>
      <w:rFonts w:ascii="Times New Roman" w:eastAsia="宋体" w:hAnsi="Times New Roman" w:cs="Times New Roman"/>
      <w:b/>
      <w:bCs/>
      <w:sz w:val="24"/>
      <w:szCs w:val="32"/>
      <w:lang/>
    </w:rPr>
  </w:style>
</w:styles>
</file>

<file path=word/webSettings.xml><?xml version="1.0" encoding="utf-8"?>
<w:webSettings xmlns:r="http://schemas.openxmlformats.org/officeDocument/2006/relationships" xmlns:w="http://schemas.openxmlformats.org/wordprocessingml/2006/main">
  <w:divs>
    <w:div w:id="730276766">
      <w:bodyDiv w:val="1"/>
      <w:marLeft w:val="0"/>
      <w:marRight w:val="0"/>
      <w:marTop w:val="0"/>
      <w:marBottom w:val="0"/>
      <w:divBdr>
        <w:top w:val="none" w:sz="0" w:space="0" w:color="auto"/>
        <w:left w:val="none" w:sz="0" w:space="0" w:color="auto"/>
        <w:bottom w:val="none" w:sz="0" w:space="0" w:color="auto"/>
        <w:right w:val="none" w:sz="0" w:space="0" w:color="auto"/>
      </w:divBdr>
      <w:divsChild>
        <w:div w:id="794325298">
          <w:marLeft w:val="0"/>
          <w:marRight w:val="0"/>
          <w:marTop w:val="0"/>
          <w:marBottom w:val="0"/>
          <w:divBdr>
            <w:top w:val="none" w:sz="0" w:space="0" w:color="auto"/>
            <w:left w:val="none" w:sz="0" w:space="0" w:color="auto"/>
            <w:bottom w:val="none" w:sz="0" w:space="0" w:color="auto"/>
            <w:right w:val="none" w:sz="0" w:space="0" w:color="auto"/>
          </w:divBdr>
          <w:divsChild>
            <w:div w:id="367490297">
              <w:marLeft w:val="0"/>
              <w:marRight w:val="0"/>
              <w:marTop w:val="0"/>
              <w:marBottom w:val="0"/>
              <w:divBdr>
                <w:top w:val="none" w:sz="0" w:space="0" w:color="auto"/>
                <w:left w:val="none" w:sz="0" w:space="0" w:color="auto"/>
                <w:bottom w:val="none" w:sz="0" w:space="0" w:color="auto"/>
                <w:right w:val="none" w:sz="0" w:space="0" w:color="auto"/>
              </w:divBdr>
              <w:divsChild>
                <w:div w:id="158926852">
                  <w:marLeft w:val="105"/>
                  <w:marRight w:val="105"/>
                  <w:marTop w:val="0"/>
                  <w:marBottom w:val="0"/>
                  <w:divBdr>
                    <w:top w:val="none" w:sz="0" w:space="0" w:color="auto"/>
                    <w:left w:val="none" w:sz="0" w:space="0" w:color="auto"/>
                    <w:bottom w:val="none" w:sz="0" w:space="0" w:color="auto"/>
                    <w:right w:val="none" w:sz="0" w:space="0" w:color="auto"/>
                  </w:divBdr>
                  <w:divsChild>
                    <w:div w:id="664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263570">
      <w:bodyDiv w:val="1"/>
      <w:marLeft w:val="0"/>
      <w:marRight w:val="0"/>
      <w:marTop w:val="0"/>
      <w:marBottom w:val="0"/>
      <w:divBdr>
        <w:top w:val="none" w:sz="0" w:space="0" w:color="auto"/>
        <w:left w:val="none" w:sz="0" w:space="0" w:color="auto"/>
        <w:bottom w:val="none" w:sz="0" w:space="0" w:color="auto"/>
        <w:right w:val="none" w:sz="0" w:space="0" w:color="auto"/>
      </w:divBdr>
      <w:divsChild>
        <w:div w:id="2147235181">
          <w:marLeft w:val="0"/>
          <w:marRight w:val="0"/>
          <w:marTop w:val="0"/>
          <w:marBottom w:val="0"/>
          <w:divBdr>
            <w:top w:val="none" w:sz="0" w:space="0" w:color="auto"/>
            <w:left w:val="none" w:sz="0" w:space="0" w:color="auto"/>
            <w:bottom w:val="none" w:sz="0" w:space="0" w:color="auto"/>
            <w:right w:val="none" w:sz="0" w:space="0" w:color="auto"/>
          </w:divBdr>
          <w:divsChild>
            <w:div w:id="1928729354">
              <w:marLeft w:val="0"/>
              <w:marRight w:val="0"/>
              <w:marTop w:val="0"/>
              <w:marBottom w:val="0"/>
              <w:divBdr>
                <w:top w:val="none" w:sz="0" w:space="0" w:color="auto"/>
                <w:left w:val="none" w:sz="0" w:space="0" w:color="auto"/>
                <w:bottom w:val="none" w:sz="0" w:space="0" w:color="auto"/>
                <w:right w:val="none" w:sz="0" w:space="0" w:color="auto"/>
              </w:divBdr>
              <w:divsChild>
                <w:div w:id="1014185100">
                  <w:marLeft w:val="105"/>
                  <w:marRight w:val="105"/>
                  <w:marTop w:val="0"/>
                  <w:marBottom w:val="0"/>
                  <w:divBdr>
                    <w:top w:val="none" w:sz="0" w:space="0" w:color="auto"/>
                    <w:left w:val="none" w:sz="0" w:space="0" w:color="auto"/>
                    <w:bottom w:val="none" w:sz="0" w:space="0" w:color="auto"/>
                    <w:right w:val="none" w:sz="0" w:space="0" w:color="auto"/>
                  </w:divBdr>
                  <w:divsChild>
                    <w:div w:id="20893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388</Words>
  <Characters>2218</Characters>
  <Application>Microsoft Office Word</Application>
  <DocSecurity>0</DocSecurity>
  <Lines>18</Lines>
  <Paragraphs>5</Paragraphs>
  <ScaleCrop>false</ScaleCrop>
  <Company>Hfzq LTD.</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孙维</dc:creator>
  <cp:lastModifiedBy>孙维</cp:lastModifiedBy>
  <cp:revision>1</cp:revision>
  <dcterms:created xsi:type="dcterms:W3CDTF">2017-07-27T03:10:00Z</dcterms:created>
  <dcterms:modified xsi:type="dcterms:W3CDTF">2017-07-27T03:12:00Z</dcterms:modified>
</cp:coreProperties>
</file>