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2A48" w:rsidRPr="00DA4909" w:rsidRDefault="00202A48" w:rsidP="00202A48">
      <w:pPr>
        <w:autoSpaceDE w:val="0"/>
        <w:autoSpaceDN w:val="0"/>
        <w:adjustRightInd w:val="0"/>
        <w:spacing w:line="360" w:lineRule="auto"/>
        <w:jc w:val="center"/>
        <w:rPr>
          <w:rFonts w:ascii="黑体" w:eastAsia="黑体" w:hAnsi="黑体"/>
          <w:sz w:val="32"/>
          <w:szCs w:val="32"/>
        </w:rPr>
      </w:pPr>
      <w:bookmarkStart w:id="0" w:name="OLE_LINK1"/>
      <w:bookmarkStart w:id="1" w:name="OLE_LINK2"/>
      <w:r w:rsidRPr="00DA4909">
        <w:rPr>
          <w:rFonts w:ascii="黑体" w:eastAsia="黑体" w:hAnsi="黑体" w:hint="eastAsia"/>
          <w:sz w:val="32"/>
          <w:szCs w:val="32"/>
        </w:rPr>
        <w:t>兴银基金固收周报（2017.11.20-2017.11.24）</w:t>
      </w:r>
    </w:p>
    <w:p w:rsidR="00202A48" w:rsidRPr="00DA4909" w:rsidRDefault="00202A48" w:rsidP="00202A48">
      <w:pPr>
        <w:autoSpaceDE w:val="0"/>
        <w:autoSpaceDN w:val="0"/>
        <w:adjustRightInd w:val="0"/>
        <w:spacing w:line="360" w:lineRule="auto"/>
        <w:ind w:firstLineChars="200" w:firstLine="643"/>
        <w:rPr>
          <w:rFonts w:ascii="黑体" w:eastAsia="黑体" w:hAnsi="黑体"/>
          <w:b/>
          <w:sz w:val="32"/>
          <w:szCs w:val="32"/>
        </w:rPr>
      </w:pPr>
    </w:p>
    <w:p w:rsidR="00B64DD8" w:rsidRPr="00202A48" w:rsidRDefault="0061496E" w:rsidP="00202A48">
      <w:pPr>
        <w:autoSpaceDE w:val="0"/>
        <w:autoSpaceDN w:val="0"/>
        <w:adjustRightInd w:val="0"/>
        <w:spacing w:line="360" w:lineRule="auto"/>
        <w:ind w:firstLineChars="200" w:firstLine="422"/>
        <w:rPr>
          <w:rFonts w:asciiTheme="minorEastAsia" w:eastAsiaTheme="minorEastAsia" w:hAnsiTheme="minorEastAsia" w:cs="Arial"/>
          <w:b/>
          <w:bCs/>
          <w:szCs w:val="21"/>
        </w:rPr>
      </w:pPr>
      <w:r w:rsidRPr="00202A48">
        <w:rPr>
          <w:rFonts w:asciiTheme="minorEastAsia" w:eastAsiaTheme="minorEastAsia" w:hAnsiTheme="minorEastAsia" w:hint="eastAsia"/>
          <w:b/>
          <w:szCs w:val="21"/>
        </w:rPr>
        <w:t>摘要：</w:t>
      </w:r>
      <w:r w:rsidR="00B64DD8" w:rsidRPr="00202A48">
        <w:rPr>
          <w:rFonts w:asciiTheme="minorEastAsia" w:eastAsiaTheme="minorEastAsia" w:hAnsiTheme="minorEastAsia" w:hint="eastAsia"/>
          <w:b/>
          <w:bCs/>
          <w:szCs w:val="21"/>
        </w:rPr>
        <w:t>国际方面，欧元区11月CPI初值不及预期， 10月失业率降至2009年来最低</w:t>
      </w:r>
      <w:r w:rsidR="00B64DD8" w:rsidRPr="00202A48">
        <w:rPr>
          <w:rFonts w:asciiTheme="minorEastAsia" w:eastAsiaTheme="minorEastAsia" w:hAnsiTheme="minorEastAsia" w:hint="eastAsia"/>
          <w:b/>
          <w:szCs w:val="21"/>
        </w:rPr>
        <w:t>；国内方面，11月中国制造业采购经理指数为51.8%。资金面：本周资金面持续紧张，银行日间融出较少，至周五资金紧张情况有所缓解，但跨月资金价格未显著下行，下周适逢月末，需警惕资金面收紧</w:t>
      </w:r>
      <w:r w:rsidR="001D6A14" w:rsidRPr="00202A48">
        <w:rPr>
          <w:rFonts w:asciiTheme="minorEastAsia" w:eastAsiaTheme="minorEastAsia" w:hAnsiTheme="minorEastAsia" w:hint="eastAsia"/>
          <w:b/>
          <w:szCs w:val="21"/>
        </w:rPr>
        <w:t>。</w:t>
      </w:r>
      <w:r w:rsidR="00B64DD8" w:rsidRPr="00202A48">
        <w:rPr>
          <w:rFonts w:asciiTheme="minorEastAsia" w:eastAsiaTheme="minorEastAsia" w:hAnsiTheme="minorEastAsia" w:cs="Arial" w:hint="eastAsia"/>
          <w:b/>
          <w:bCs/>
          <w:szCs w:val="21"/>
        </w:rPr>
        <w:t>近期建议，谨慎对待短期市场做多情绪。中期进一步关注监管政策扰动，建议维持短久期低杠杆操作。</w:t>
      </w:r>
    </w:p>
    <w:p w:rsidR="00202A48" w:rsidRPr="00202A48" w:rsidRDefault="00202A48" w:rsidP="00202A48">
      <w:pPr>
        <w:spacing w:line="360" w:lineRule="auto"/>
        <w:rPr>
          <w:rFonts w:asciiTheme="minorEastAsia" w:eastAsiaTheme="minorEastAsia" w:hAnsiTheme="minorEastAsia"/>
          <w:b/>
          <w:szCs w:val="21"/>
        </w:rPr>
      </w:pPr>
    </w:p>
    <w:p w:rsidR="00CB5DC8" w:rsidRPr="00202A48" w:rsidRDefault="0061496E" w:rsidP="00202A48">
      <w:pPr>
        <w:spacing w:line="360" w:lineRule="auto"/>
        <w:ind w:firstLineChars="200" w:firstLine="422"/>
        <w:rPr>
          <w:rFonts w:asciiTheme="minorEastAsia" w:eastAsiaTheme="minorEastAsia" w:hAnsiTheme="minorEastAsia"/>
          <w:b/>
          <w:bCs/>
          <w:szCs w:val="21"/>
        </w:rPr>
      </w:pPr>
      <w:r w:rsidRPr="00202A48">
        <w:rPr>
          <w:rFonts w:asciiTheme="minorEastAsia" w:eastAsiaTheme="minorEastAsia" w:hAnsiTheme="minorEastAsia" w:hint="eastAsia"/>
          <w:b/>
          <w:szCs w:val="21"/>
        </w:rPr>
        <w:t>一、</w:t>
      </w:r>
      <w:bookmarkStart w:id="2" w:name="OLE_LINK5"/>
      <w:bookmarkStart w:id="3" w:name="OLE_LINK6"/>
      <w:bookmarkStart w:id="4" w:name="OLE_LINK7"/>
      <w:r w:rsidR="00CD4932" w:rsidRPr="00202A48">
        <w:rPr>
          <w:rFonts w:asciiTheme="minorEastAsia" w:eastAsiaTheme="minorEastAsia" w:hAnsiTheme="minorEastAsia" w:hint="eastAsia"/>
          <w:b/>
          <w:bCs/>
          <w:szCs w:val="21"/>
        </w:rPr>
        <w:t>国际方面，</w:t>
      </w:r>
      <w:r w:rsidR="0020242D" w:rsidRPr="00202A48">
        <w:rPr>
          <w:rFonts w:asciiTheme="minorEastAsia" w:eastAsiaTheme="minorEastAsia" w:hAnsiTheme="minorEastAsia" w:hint="eastAsia"/>
          <w:b/>
          <w:bCs/>
          <w:szCs w:val="21"/>
        </w:rPr>
        <w:t>欧元区11月CPI初值不及预期， 10月失业率降至2009年来最低</w:t>
      </w:r>
      <w:r w:rsidRPr="00202A48">
        <w:rPr>
          <w:rFonts w:asciiTheme="minorEastAsia" w:eastAsiaTheme="minorEastAsia" w:hAnsiTheme="minorEastAsia" w:hint="eastAsia"/>
          <w:b/>
          <w:szCs w:val="21"/>
        </w:rPr>
        <w:t>；国内方面，</w:t>
      </w:r>
      <w:r w:rsidR="0020242D" w:rsidRPr="00202A48">
        <w:rPr>
          <w:rFonts w:asciiTheme="minorEastAsia" w:eastAsiaTheme="minorEastAsia" w:hAnsiTheme="minorEastAsia" w:hint="eastAsia"/>
          <w:b/>
          <w:szCs w:val="21"/>
        </w:rPr>
        <w:t>11月中国制造业采购经理指数为51.8%</w:t>
      </w:r>
      <w:r w:rsidR="00CB5DC8" w:rsidRPr="00202A48">
        <w:rPr>
          <w:rFonts w:asciiTheme="minorEastAsia" w:eastAsiaTheme="minorEastAsia" w:hAnsiTheme="minorEastAsia" w:hint="eastAsia"/>
          <w:b/>
          <w:szCs w:val="21"/>
        </w:rPr>
        <w:t>。</w:t>
      </w:r>
      <w:bookmarkEnd w:id="2"/>
      <w:bookmarkEnd w:id="3"/>
      <w:bookmarkEnd w:id="4"/>
    </w:p>
    <w:p w:rsidR="00AA2B34" w:rsidRPr="00202A48" w:rsidRDefault="00AA2B34" w:rsidP="00AA2B34">
      <w:pPr>
        <w:spacing w:line="360" w:lineRule="auto"/>
        <w:ind w:firstLine="412"/>
        <w:rPr>
          <w:rFonts w:asciiTheme="minorEastAsia" w:eastAsiaTheme="minorEastAsia" w:hAnsiTheme="minorEastAsia"/>
          <w:b/>
          <w:bCs/>
          <w:szCs w:val="21"/>
        </w:rPr>
      </w:pPr>
      <w:r w:rsidRPr="00202A48">
        <w:rPr>
          <w:rFonts w:asciiTheme="minorEastAsia" w:eastAsiaTheme="minorEastAsia" w:hAnsiTheme="minorEastAsia" w:hint="eastAsia"/>
          <w:b/>
          <w:szCs w:val="21"/>
        </w:rPr>
        <w:t>国际方面，欧元区11月CPI初值不及预期</w:t>
      </w:r>
      <w:r w:rsidR="0020242D" w:rsidRPr="00202A48">
        <w:rPr>
          <w:rFonts w:asciiTheme="minorEastAsia" w:eastAsiaTheme="minorEastAsia" w:hAnsiTheme="minorEastAsia" w:hint="eastAsia"/>
          <w:b/>
          <w:szCs w:val="21"/>
        </w:rPr>
        <w:t>，</w:t>
      </w:r>
      <w:r w:rsidRPr="00202A48">
        <w:rPr>
          <w:rFonts w:asciiTheme="minorEastAsia" w:eastAsiaTheme="minorEastAsia" w:hAnsiTheme="minorEastAsia" w:hint="eastAsia"/>
          <w:b/>
          <w:szCs w:val="21"/>
        </w:rPr>
        <w:t xml:space="preserve"> 10月失业率降至2009年来最低。</w:t>
      </w:r>
    </w:p>
    <w:p w:rsidR="00AA2B34" w:rsidRPr="00202A48" w:rsidRDefault="00AA2B34" w:rsidP="00AA2B34">
      <w:pPr>
        <w:spacing w:line="360" w:lineRule="auto"/>
        <w:ind w:firstLineChars="200" w:firstLine="420"/>
        <w:rPr>
          <w:rFonts w:asciiTheme="minorEastAsia" w:eastAsiaTheme="minorEastAsia" w:hAnsiTheme="minorEastAsia" w:cstheme="minorBidi"/>
          <w:szCs w:val="21"/>
        </w:rPr>
      </w:pPr>
      <w:r w:rsidRPr="00202A48">
        <w:rPr>
          <w:rFonts w:asciiTheme="minorEastAsia" w:eastAsiaTheme="minorEastAsia" w:hAnsiTheme="minorEastAsia" w:cstheme="minorBidi" w:hint="eastAsia"/>
          <w:szCs w:val="21"/>
        </w:rPr>
        <w:t>周四公布的数据显示，欧元区11月CPI同比初值1.5%，不及1.6%的预期；核心CPI同比初值0.9%，不及1%的预期。同时公布的数据还包括失业率。欧元区10月失业率下滑至8.8%，为2009年1月以来新低。</w:t>
      </w:r>
    </w:p>
    <w:p w:rsidR="0029707E" w:rsidRPr="00202A48" w:rsidRDefault="00AA2B34" w:rsidP="00AA2B34">
      <w:pPr>
        <w:spacing w:line="360" w:lineRule="auto"/>
        <w:ind w:firstLineChars="200" w:firstLine="420"/>
        <w:rPr>
          <w:rFonts w:asciiTheme="minorEastAsia" w:eastAsiaTheme="minorEastAsia" w:hAnsiTheme="minorEastAsia" w:cstheme="minorBidi"/>
          <w:szCs w:val="21"/>
        </w:rPr>
      </w:pPr>
      <w:r w:rsidRPr="00202A48">
        <w:rPr>
          <w:rFonts w:asciiTheme="minorEastAsia" w:eastAsiaTheme="minorEastAsia" w:hAnsiTheme="minorEastAsia" w:cstheme="minorBidi" w:hint="eastAsia"/>
          <w:szCs w:val="21"/>
        </w:rPr>
        <w:t>此前公布的数据显示，欧元区三季度GDP同比修正值2.5%，好于二季度表现；欧元区11月制造业PMI初值也大幅超出预期，分析称，四季度欧元区GDP增速或达到0.8%，令今年成为十年来最好的一年。</w:t>
      </w:r>
    </w:p>
    <w:p w:rsidR="0061496E" w:rsidRPr="00202A48" w:rsidRDefault="0061496E" w:rsidP="0061496E">
      <w:pPr>
        <w:spacing w:line="360" w:lineRule="auto"/>
        <w:ind w:firstLine="412"/>
        <w:rPr>
          <w:rFonts w:asciiTheme="minorEastAsia" w:eastAsiaTheme="minorEastAsia" w:hAnsiTheme="minorEastAsia"/>
          <w:b/>
          <w:bCs/>
          <w:szCs w:val="21"/>
        </w:rPr>
      </w:pPr>
      <w:r w:rsidRPr="00202A48">
        <w:rPr>
          <w:rFonts w:asciiTheme="minorEastAsia" w:eastAsiaTheme="minorEastAsia" w:hAnsiTheme="minorEastAsia" w:hint="eastAsia"/>
          <w:b/>
          <w:szCs w:val="21"/>
        </w:rPr>
        <w:t>国内方面，</w:t>
      </w:r>
      <w:r w:rsidR="00AA2B34" w:rsidRPr="00202A48">
        <w:rPr>
          <w:rFonts w:asciiTheme="minorEastAsia" w:eastAsiaTheme="minorEastAsia" w:hAnsiTheme="minorEastAsia" w:hint="eastAsia"/>
          <w:b/>
          <w:szCs w:val="21"/>
        </w:rPr>
        <w:t>11月中国制造业采购经理指数为51.8%，比上月上升0.2个百分点</w:t>
      </w:r>
      <w:r w:rsidRPr="00202A48">
        <w:rPr>
          <w:rFonts w:asciiTheme="minorEastAsia" w:eastAsiaTheme="minorEastAsia" w:hAnsiTheme="minorEastAsia" w:hint="eastAsia"/>
          <w:b/>
          <w:szCs w:val="21"/>
        </w:rPr>
        <w:t>。</w:t>
      </w:r>
    </w:p>
    <w:p w:rsidR="008C1178" w:rsidRPr="00202A48" w:rsidRDefault="00AA2B34" w:rsidP="00AA2B34">
      <w:pPr>
        <w:spacing w:line="360" w:lineRule="auto"/>
        <w:ind w:firstLineChars="200" w:firstLine="420"/>
        <w:rPr>
          <w:rFonts w:asciiTheme="minorEastAsia" w:eastAsiaTheme="minorEastAsia" w:hAnsiTheme="minorEastAsia" w:cstheme="minorBidi"/>
          <w:szCs w:val="21"/>
        </w:rPr>
      </w:pPr>
      <w:r w:rsidRPr="00202A48">
        <w:rPr>
          <w:rFonts w:asciiTheme="minorEastAsia" w:eastAsiaTheme="minorEastAsia" w:hAnsiTheme="minorEastAsia" w:cstheme="minorBidi" w:hint="eastAsia"/>
          <w:szCs w:val="21"/>
        </w:rPr>
        <w:t>计局网站消息，2017年11月份，中国制造业采购经理指数（PMI）为51.8%，比上月上升0.2个百分点，制造业继续保持稳中有升的发展态势。</w:t>
      </w:r>
    </w:p>
    <w:p w:rsidR="00AA2B34" w:rsidRPr="00202A48" w:rsidRDefault="00AA2B34" w:rsidP="00AA2B34">
      <w:pPr>
        <w:spacing w:line="360" w:lineRule="auto"/>
        <w:ind w:firstLineChars="200" w:firstLine="420"/>
        <w:rPr>
          <w:rFonts w:asciiTheme="minorEastAsia" w:eastAsiaTheme="minorEastAsia" w:hAnsiTheme="minorEastAsia" w:cstheme="minorBidi"/>
          <w:szCs w:val="21"/>
        </w:rPr>
      </w:pPr>
      <w:r w:rsidRPr="00202A48">
        <w:rPr>
          <w:rFonts w:asciiTheme="minorEastAsia" w:eastAsiaTheme="minorEastAsia" w:hAnsiTheme="minorEastAsia" w:cstheme="minorBidi" w:hint="eastAsia"/>
          <w:szCs w:val="21"/>
        </w:rPr>
        <w:t>分企业规模看，大型企业PMI为52.9%，比上月微落0.2个百分点，继续在扩张区间内平稳运行；中型企业PMI为50.5%，比上月上升0.7个百分点，重回临界点之上；小型企业PMI为49.8%，比上月回升0.8个百分点，抵近临界点。</w:t>
      </w:r>
    </w:p>
    <w:p w:rsidR="00202A48" w:rsidRPr="00202A48" w:rsidRDefault="00537325" w:rsidP="00AA2B34">
      <w:pPr>
        <w:spacing w:line="360" w:lineRule="auto"/>
        <w:rPr>
          <w:rFonts w:asciiTheme="minorEastAsia" w:eastAsiaTheme="minorEastAsia" w:hAnsiTheme="minorEastAsia"/>
          <w:b/>
          <w:szCs w:val="21"/>
        </w:rPr>
      </w:pPr>
      <w:r w:rsidRPr="00202A48">
        <w:rPr>
          <w:rFonts w:asciiTheme="minorEastAsia" w:eastAsiaTheme="minorEastAsia" w:hAnsiTheme="minorEastAsia" w:hint="eastAsia"/>
          <w:b/>
          <w:szCs w:val="21"/>
        </w:rPr>
        <w:tab/>
      </w:r>
    </w:p>
    <w:p w:rsidR="00AA2B34" w:rsidRPr="00202A48" w:rsidRDefault="00AA2B34" w:rsidP="00202A48">
      <w:pPr>
        <w:spacing w:line="360" w:lineRule="auto"/>
        <w:ind w:firstLineChars="200" w:firstLine="422"/>
        <w:rPr>
          <w:rFonts w:asciiTheme="minorEastAsia" w:eastAsiaTheme="minorEastAsia" w:hAnsiTheme="minorEastAsia"/>
          <w:b/>
          <w:szCs w:val="21"/>
        </w:rPr>
      </w:pPr>
      <w:r w:rsidRPr="00202A48">
        <w:rPr>
          <w:rFonts w:asciiTheme="minorEastAsia" w:eastAsiaTheme="minorEastAsia" w:hAnsiTheme="minorEastAsia" w:hint="eastAsia"/>
          <w:b/>
          <w:szCs w:val="21"/>
        </w:rPr>
        <w:t>二、资金面：本周资金面持续紧张，银行日间融出较少，至周五资金紧张情况有所缓解，但跨月资金价格未显著下行，下周适逢月末，需警惕资金面收紧</w:t>
      </w:r>
      <w:r w:rsidR="00DA4909">
        <w:rPr>
          <w:rFonts w:asciiTheme="minorEastAsia" w:eastAsiaTheme="minorEastAsia" w:hAnsiTheme="minorEastAsia" w:hint="eastAsia"/>
          <w:b/>
          <w:szCs w:val="21"/>
        </w:rPr>
        <w:t>。</w:t>
      </w:r>
    </w:p>
    <w:p w:rsidR="00AA2B34" w:rsidRPr="00202A48" w:rsidRDefault="00AA2B34" w:rsidP="00AA2B34">
      <w:pPr>
        <w:spacing w:line="360" w:lineRule="auto"/>
        <w:ind w:firstLineChars="200" w:firstLine="422"/>
        <w:rPr>
          <w:rFonts w:asciiTheme="minorEastAsia" w:eastAsiaTheme="minorEastAsia" w:hAnsiTheme="minorEastAsia"/>
          <w:szCs w:val="21"/>
        </w:rPr>
      </w:pPr>
      <w:r w:rsidRPr="00202A48">
        <w:rPr>
          <w:rFonts w:asciiTheme="minorEastAsia" w:eastAsiaTheme="minorEastAsia" w:hAnsiTheme="minorEastAsia" w:hint="eastAsia"/>
          <w:b/>
          <w:szCs w:val="21"/>
        </w:rPr>
        <w:t>回购：</w:t>
      </w:r>
      <w:r w:rsidRPr="00202A48">
        <w:rPr>
          <w:rFonts w:asciiTheme="minorEastAsia" w:eastAsiaTheme="minorEastAsia" w:hAnsiTheme="minorEastAsia" w:hint="eastAsia"/>
          <w:szCs w:val="21"/>
        </w:rPr>
        <w:t>本周央行公开市场净投放1500亿元，另本周国库现金定存到期800亿元。截止24日，银行间各期限回购利率均有所上行，跨月品种上行幅度较大，隔夜品种加权利率上行至2.89，成交量回落至约20000亿元，交易所GC001单周加权利率上行至4.40，日均成</w:t>
      </w:r>
      <w:r w:rsidRPr="00202A48">
        <w:rPr>
          <w:rFonts w:asciiTheme="minorEastAsia" w:eastAsiaTheme="minorEastAsia" w:hAnsiTheme="minorEastAsia" w:hint="eastAsia"/>
          <w:szCs w:val="21"/>
        </w:rPr>
        <w:lastRenderedPageBreak/>
        <w:t>交量升至约8000亿元。公开市场操作存量（回购+MLF）继续上行，银行间融资余额变动不大。本周资金面持续紧张，银行日间融出较少，至周五资金紧张情况有所缓解，但跨月资金价格未显著下行，下周适逢月末，需警惕资金面收紧。</w:t>
      </w:r>
    </w:p>
    <w:p w:rsidR="00AA2B34" w:rsidRPr="00202A48" w:rsidRDefault="00AA2B34" w:rsidP="00202A48">
      <w:pPr>
        <w:spacing w:line="360" w:lineRule="auto"/>
        <w:jc w:val="left"/>
        <w:rPr>
          <w:rFonts w:asciiTheme="minorEastAsia" w:eastAsiaTheme="minorEastAsia" w:hAnsiTheme="minorEastAsia"/>
          <w:szCs w:val="21"/>
        </w:rPr>
      </w:pPr>
      <w:r w:rsidRPr="00202A48">
        <w:rPr>
          <w:rFonts w:asciiTheme="minorEastAsia" w:eastAsiaTheme="minorEastAsia" w:hAnsiTheme="minorEastAsia" w:hint="eastAsia"/>
          <w:szCs w:val="21"/>
        </w:rPr>
        <w:t>央行公开市场操作情况</w:t>
      </w:r>
    </w:p>
    <w:p w:rsidR="00AA2B34" w:rsidRPr="00202A48" w:rsidRDefault="00AA2B34" w:rsidP="00202A48">
      <w:pPr>
        <w:spacing w:line="360" w:lineRule="auto"/>
        <w:jc w:val="left"/>
        <w:rPr>
          <w:rFonts w:asciiTheme="minorEastAsia" w:eastAsiaTheme="minorEastAsia" w:hAnsiTheme="minorEastAsia"/>
          <w:szCs w:val="21"/>
        </w:rPr>
      </w:pPr>
      <w:r w:rsidRPr="00202A48">
        <w:rPr>
          <w:rFonts w:asciiTheme="minorEastAsia" w:eastAsiaTheme="minorEastAsia" w:hAnsiTheme="minorEastAsia"/>
          <w:noProof/>
          <w:szCs w:val="21"/>
        </w:rPr>
        <w:drawing>
          <wp:inline distT="0" distB="0" distL="0" distR="0">
            <wp:extent cx="5274310" cy="3496641"/>
            <wp:effectExtent l="19050" t="0" r="2540" b="0"/>
            <wp:docPr id="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4966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02A48" w:rsidRPr="00202A48" w:rsidRDefault="00202A48" w:rsidP="00202A48">
      <w:pPr>
        <w:spacing w:line="360" w:lineRule="auto"/>
        <w:rPr>
          <w:rFonts w:asciiTheme="minorEastAsia" w:eastAsiaTheme="minorEastAsia" w:hAnsiTheme="minorEastAsia"/>
          <w:szCs w:val="21"/>
        </w:rPr>
      </w:pPr>
    </w:p>
    <w:p w:rsidR="00AA2B34" w:rsidRPr="00202A48" w:rsidRDefault="00AA2B34" w:rsidP="00202A48">
      <w:pPr>
        <w:spacing w:line="360" w:lineRule="auto"/>
        <w:rPr>
          <w:rFonts w:asciiTheme="minorEastAsia" w:eastAsiaTheme="minorEastAsia" w:hAnsiTheme="minorEastAsia"/>
          <w:szCs w:val="21"/>
          <w:highlight w:val="yellow"/>
        </w:rPr>
      </w:pPr>
      <w:r w:rsidRPr="00202A48">
        <w:rPr>
          <w:rFonts w:asciiTheme="minorEastAsia" w:eastAsiaTheme="minorEastAsia" w:hAnsiTheme="minorEastAsia" w:hint="eastAsia"/>
          <w:szCs w:val="21"/>
        </w:rPr>
        <w:t>近期银行间回购主要品种收益率较上周变动</w:t>
      </w:r>
    </w:p>
    <w:p w:rsidR="00AA2B34" w:rsidRPr="00202A48" w:rsidRDefault="00AA2B34" w:rsidP="00202A48">
      <w:pPr>
        <w:spacing w:line="360" w:lineRule="auto"/>
        <w:rPr>
          <w:rFonts w:asciiTheme="minorEastAsia" w:eastAsiaTheme="minorEastAsia" w:hAnsiTheme="minorEastAsia"/>
          <w:color w:val="FF0000"/>
          <w:szCs w:val="21"/>
          <w:highlight w:val="yellow"/>
        </w:rPr>
      </w:pPr>
      <w:r w:rsidRPr="00202A48">
        <w:rPr>
          <w:rFonts w:asciiTheme="minorEastAsia" w:eastAsiaTheme="minorEastAsia" w:hAnsiTheme="minorEastAsia"/>
          <w:noProof/>
          <w:szCs w:val="21"/>
        </w:rPr>
        <w:drawing>
          <wp:inline distT="0" distB="0" distL="0" distR="0">
            <wp:extent cx="4248150" cy="1733550"/>
            <wp:effectExtent l="19050" t="0" r="0" b="0"/>
            <wp:docPr id="5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8150" cy="1733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A2B34" w:rsidRPr="00202A48" w:rsidRDefault="00AA2B34" w:rsidP="00202A48">
      <w:pPr>
        <w:spacing w:line="360" w:lineRule="auto"/>
        <w:jc w:val="left"/>
        <w:rPr>
          <w:rFonts w:asciiTheme="minorEastAsia" w:eastAsiaTheme="minorEastAsia" w:hAnsiTheme="minorEastAsia"/>
          <w:color w:val="FF0000"/>
          <w:szCs w:val="21"/>
          <w:highlight w:val="yellow"/>
        </w:rPr>
      </w:pPr>
      <w:r w:rsidRPr="00202A48">
        <w:rPr>
          <w:rFonts w:asciiTheme="minorEastAsia" w:eastAsiaTheme="minorEastAsia" w:hAnsiTheme="minorEastAsia"/>
          <w:noProof/>
          <w:szCs w:val="21"/>
        </w:rPr>
        <w:lastRenderedPageBreak/>
        <w:drawing>
          <wp:inline distT="0" distB="0" distL="0" distR="0">
            <wp:extent cx="5274310" cy="1896440"/>
            <wp:effectExtent l="19050" t="0" r="2540" b="0"/>
            <wp:docPr id="8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896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02A48" w:rsidRPr="00202A48" w:rsidRDefault="00202A48" w:rsidP="00202A48">
      <w:pPr>
        <w:spacing w:line="360" w:lineRule="auto"/>
        <w:rPr>
          <w:rFonts w:asciiTheme="minorEastAsia" w:eastAsiaTheme="minorEastAsia" w:hAnsiTheme="minorEastAsia"/>
          <w:szCs w:val="21"/>
        </w:rPr>
      </w:pPr>
    </w:p>
    <w:p w:rsidR="00AA2B34" w:rsidRPr="00202A48" w:rsidRDefault="00AA2B34" w:rsidP="00202A48">
      <w:pPr>
        <w:spacing w:line="360" w:lineRule="auto"/>
        <w:rPr>
          <w:rFonts w:asciiTheme="minorEastAsia" w:eastAsiaTheme="minorEastAsia" w:hAnsiTheme="minorEastAsia"/>
          <w:szCs w:val="21"/>
        </w:rPr>
      </w:pPr>
      <w:r w:rsidRPr="00202A48">
        <w:rPr>
          <w:rFonts w:asciiTheme="minorEastAsia" w:eastAsiaTheme="minorEastAsia" w:hAnsiTheme="minorEastAsia" w:hint="eastAsia"/>
          <w:szCs w:val="21"/>
        </w:rPr>
        <w:t>交易所隔夜品种（GC001）利率变动情况</w:t>
      </w:r>
    </w:p>
    <w:p w:rsidR="00AA2B34" w:rsidRPr="00202A48" w:rsidRDefault="00AA2B34" w:rsidP="00202A48">
      <w:pPr>
        <w:spacing w:line="360" w:lineRule="auto"/>
        <w:jc w:val="left"/>
        <w:rPr>
          <w:rFonts w:asciiTheme="minorEastAsia" w:eastAsiaTheme="minorEastAsia" w:hAnsiTheme="minorEastAsia"/>
          <w:szCs w:val="21"/>
        </w:rPr>
      </w:pPr>
      <w:r w:rsidRPr="00202A48">
        <w:rPr>
          <w:rFonts w:asciiTheme="minorEastAsia" w:eastAsiaTheme="minorEastAsia" w:hAnsiTheme="minorEastAsia"/>
          <w:noProof/>
          <w:szCs w:val="21"/>
        </w:rPr>
        <w:drawing>
          <wp:inline distT="0" distB="0" distL="0" distR="0">
            <wp:extent cx="5274310" cy="2053548"/>
            <wp:effectExtent l="19050" t="0" r="2540" b="0"/>
            <wp:docPr id="9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0535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A2B34" w:rsidRPr="00202A48" w:rsidRDefault="00AA2B34" w:rsidP="00AA2B34">
      <w:pPr>
        <w:spacing w:line="360" w:lineRule="auto"/>
        <w:ind w:firstLineChars="200" w:firstLine="360"/>
        <w:rPr>
          <w:rFonts w:asciiTheme="minorEastAsia" w:eastAsiaTheme="minorEastAsia" w:hAnsiTheme="minorEastAsia"/>
          <w:sz w:val="18"/>
          <w:szCs w:val="18"/>
        </w:rPr>
      </w:pPr>
      <w:r w:rsidRPr="00202A48">
        <w:rPr>
          <w:rFonts w:asciiTheme="minorEastAsia" w:eastAsiaTheme="minorEastAsia" w:hAnsiTheme="minorEastAsia" w:hint="eastAsia"/>
          <w:sz w:val="18"/>
          <w:szCs w:val="18"/>
        </w:rPr>
        <w:t>备注：上图表示GC001每周加权利率的变动情况</w:t>
      </w:r>
    </w:p>
    <w:p w:rsidR="00AA2B34" w:rsidRPr="00202A48" w:rsidRDefault="00AA2B34" w:rsidP="00AA2B34">
      <w:pPr>
        <w:spacing w:line="360" w:lineRule="auto"/>
        <w:ind w:firstLineChars="200" w:firstLine="422"/>
        <w:rPr>
          <w:rFonts w:asciiTheme="minorEastAsia" w:eastAsiaTheme="minorEastAsia" w:hAnsiTheme="minorEastAsia"/>
          <w:szCs w:val="21"/>
        </w:rPr>
      </w:pPr>
      <w:r w:rsidRPr="00202A48">
        <w:rPr>
          <w:rFonts w:asciiTheme="minorEastAsia" w:eastAsiaTheme="minorEastAsia" w:hAnsiTheme="minorEastAsia" w:hint="eastAsia"/>
          <w:b/>
          <w:szCs w:val="21"/>
        </w:rPr>
        <w:t>同业存款：</w:t>
      </w:r>
      <w:r w:rsidRPr="00202A48">
        <w:rPr>
          <w:rFonts w:asciiTheme="minorEastAsia" w:eastAsiaTheme="minorEastAsia" w:hAnsiTheme="minorEastAsia" w:hint="eastAsia"/>
          <w:szCs w:val="21"/>
        </w:rPr>
        <w:t>本周同业存单发行量继续小幅上行至近4800亿元，发行主要集中在3个月及6个月品种，其中股份制银行1个月存单价格仍维持在4.10-4.15之间，3个月存单价格维持在4.90,6个月存单价格小幅上行至4.88-4.90，股份制银行跨年存款价格达到阶段性高点。同业存款方面，6个月内存款价格继续上行。</w:t>
      </w:r>
    </w:p>
    <w:p w:rsidR="00AA2B34" w:rsidRPr="00202A48" w:rsidRDefault="00AA2B34" w:rsidP="00202A48">
      <w:pPr>
        <w:spacing w:line="360" w:lineRule="auto"/>
        <w:rPr>
          <w:rFonts w:asciiTheme="minorEastAsia" w:eastAsiaTheme="minorEastAsia" w:hAnsiTheme="minorEastAsia"/>
          <w:szCs w:val="21"/>
        </w:rPr>
      </w:pPr>
      <w:r w:rsidRPr="00202A48">
        <w:rPr>
          <w:rFonts w:asciiTheme="minorEastAsia" w:eastAsiaTheme="minorEastAsia" w:hAnsiTheme="minorEastAsia" w:hint="eastAsia"/>
          <w:szCs w:val="21"/>
        </w:rPr>
        <w:t>同业价格分布</w:t>
      </w:r>
    </w:p>
    <w:p w:rsidR="00AA2B34" w:rsidRPr="00202A48" w:rsidRDefault="00AA2B34" w:rsidP="00202A48">
      <w:pPr>
        <w:spacing w:line="360" w:lineRule="auto"/>
        <w:jc w:val="left"/>
        <w:rPr>
          <w:rFonts w:asciiTheme="minorEastAsia" w:eastAsiaTheme="minorEastAsia" w:hAnsiTheme="minorEastAsia"/>
          <w:szCs w:val="21"/>
        </w:rPr>
      </w:pPr>
      <w:r w:rsidRPr="00202A48">
        <w:rPr>
          <w:rFonts w:asciiTheme="minorEastAsia" w:eastAsiaTheme="minorEastAsia" w:hAnsiTheme="minorEastAsia"/>
          <w:noProof/>
          <w:szCs w:val="21"/>
        </w:rPr>
        <w:drawing>
          <wp:inline distT="0" distB="0" distL="0" distR="0">
            <wp:extent cx="4848225" cy="1524000"/>
            <wp:effectExtent l="19050" t="0" r="952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8225" cy="152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A2B34" w:rsidRPr="00202A48" w:rsidRDefault="00AA2B34" w:rsidP="00AA2B34">
      <w:pPr>
        <w:spacing w:line="360" w:lineRule="auto"/>
        <w:rPr>
          <w:rFonts w:asciiTheme="minorEastAsia" w:eastAsiaTheme="minorEastAsia" w:hAnsiTheme="minorEastAsia"/>
          <w:b/>
          <w:szCs w:val="21"/>
        </w:rPr>
      </w:pPr>
    </w:p>
    <w:p w:rsidR="00AA2B34" w:rsidRPr="00202A48" w:rsidRDefault="00AA2B34" w:rsidP="00AA2B34">
      <w:pPr>
        <w:spacing w:line="360" w:lineRule="auto"/>
        <w:rPr>
          <w:rFonts w:asciiTheme="minorEastAsia" w:eastAsiaTheme="minorEastAsia" w:hAnsiTheme="minorEastAsia"/>
          <w:b/>
          <w:szCs w:val="21"/>
        </w:rPr>
      </w:pPr>
      <w:r w:rsidRPr="00202A48">
        <w:rPr>
          <w:rFonts w:asciiTheme="minorEastAsia" w:eastAsiaTheme="minorEastAsia" w:hAnsiTheme="minorEastAsia" w:hint="eastAsia"/>
          <w:b/>
          <w:szCs w:val="21"/>
        </w:rPr>
        <w:tab/>
        <w:t>三、现券：周初监管新规落地并未消除市场的担忧情绪，市场在恐慌情绪下引来周三</w:t>
      </w:r>
      <w:r w:rsidRPr="00202A48">
        <w:rPr>
          <w:rFonts w:asciiTheme="minorEastAsia" w:eastAsiaTheme="minorEastAsia" w:hAnsiTheme="minorEastAsia" w:hint="eastAsia"/>
          <w:b/>
          <w:szCs w:val="21"/>
        </w:rPr>
        <w:lastRenderedPageBreak/>
        <w:t>的一波收益率大幅上行，在金债方面表现尤为明显，随后收益率出现一波回调，周四口行债推迟发行，国开债下周二停发等消息提振市场，债市监管风险仍未消退，临近年末，操作仍需谨慎</w:t>
      </w:r>
      <w:r w:rsidR="00DA4909">
        <w:rPr>
          <w:rFonts w:asciiTheme="minorEastAsia" w:eastAsiaTheme="minorEastAsia" w:hAnsiTheme="minorEastAsia" w:hint="eastAsia"/>
          <w:b/>
          <w:szCs w:val="21"/>
        </w:rPr>
        <w:t>。</w:t>
      </w:r>
    </w:p>
    <w:p w:rsidR="00AA2B34" w:rsidRPr="00202A48" w:rsidRDefault="00AA2B34" w:rsidP="00AA2B34">
      <w:pPr>
        <w:spacing w:line="360" w:lineRule="auto"/>
        <w:rPr>
          <w:rFonts w:asciiTheme="minorEastAsia" w:eastAsiaTheme="minorEastAsia" w:hAnsiTheme="minorEastAsia"/>
          <w:szCs w:val="21"/>
        </w:rPr>
      </w:pPr>
      <w:r w:rsidRPr="00202A48">
        <w:rPr>
          <w:rFonts w:asciiTheme="minorEastAsia" w:eastAsiaTheme="minorEastAsia" w:hAnsiTheme="minorEastAsia" w:hint="eastAsia"/>
          <w:szCs w:val="21"/>
        </w:rPr>
        <w:t>现券一级市场发行情况统计</w:t>
      </w:r>
    </w:p>
    <w:p w:rsidR="00AA2B34" w:rsidRPr="00202A48" w:rsidRDefault="00AA2B34" w:rsidP="00AA2B34">
      <w:pPr>
        <w:spacing w:line="360" w:lineRule="auto"/>
        <w:jc w:val="center"/>
        <w:rPr>
          <w:rFonts w:asciiTheme="minorEastAsia" w:eastAsiaTheme="minorEastAsia" w:hAnsiTheme="minorEastAsia"/>
          <w:szCs w:val="21"/>
        </w:rPr>
      </w:pPr>
      <w:r w:rsidRPr="00202A48">
        <w:rPr>
          <w:rFonts w:asciiTheme="minorEastAsia" w:eastAsiaTheme="minorEastAsia" w:hAnsiTheme="minorEastAsia"/>
          <w:noProof/>
          <w:szCs w:val="21"/>
        </w:rPr>
        <w:drawing>
          <wp:inline distT="0" distB="0" distL="0" distR="0">
            <wp:extent cx="5153025" cy="2247900"/>
            <wp:effectExtent l="19050" t="0" r="9525" b="0"/>
            <wp:docPr id="2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3025" cy="2247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02A48" w:rsidRPr="00202A48" w:rsidRDefault="00202A48" w:rsidP="00AA2B34">
      <w:pPr>
        <w:spacing w:line="360" w:lineRule="auto"/>
        <w:rPr>
          <w:rFonts w:asciiTheme="minorEastAsia" w:eastAsiaTheme="minorEastAsia" w:hAnsiTheme="minorEastAsia"/>
          <w:szCs w:val="21"/>
        </w:rPr>
      </w:pPr>
    </w:p>
    <w:p w:rsidR="00AA2B34" w:rsidRPr="00202A48" w:rsidRDefault="00AA2B34" w:rsidP="00AA2B34">
      <w:pPr>
        <w:spacing w:line="360" w:lineRule="auto"/>
        <w:rPr>
          <w:rFonts w:asciiTheme="minorEastAsia" w:eastAsiaTheme="minorEastAsia" w:hAnsiTheme="minorEastAsia"/>
          <w:szCs w:val="21"/>
        </w:rPr>
      </w:pPr>
      <w:r w:rsidRPr="00202A48">
        <w:rPr>
          <w:rFonts w:asciiTheme="minorEastAsia" w:eastAsiaTheme="minorEastAsia" w:hAnsiTheme="minorEastAsia" w:hint="eastAsia"/>
          <w:szCs w:val="21"/>
        </w:rPr>
        <w:t>利率债一级市场发行情况</w:t>
      </w:r>
    </w:p>
    <w:p w:rsidR="00AA2B34" w:rsidRPr="00202A48" w:rsidRDefault="00AA2B34" w:rsidP="00AA2B34">
      <w:pPr>
        <w:spacing w:line="360" w:lineRule="auto"/>
        <w:jc w:val="center"/>
        <w:rPr>
          <w:rFonts w:asciiTheme="minorEastAsia" w:eastAsiaTheme="minorEastAsia" w:hAnsiTheme="minorEastAsia"/>
          <w:szCs w:val="21"/>
        </w:rPr>
      </w:pPr>
      <w:r w:rsidRPr="00202A48">
        <w:rPr>
          <w:rFonts w:asciiTheme="minorEastAsia" w:eastAsiaTheme="minorEastAsia" w:hAnsiTheme="minorEastAsia"/>
          <w:noProof/>
          <w:szCs w:val="21"/>
        </w:rPr>
        <w:drawing>
          <wp:inline distT="0" distB="0" distL="0" distR="0">
            <wp:extent cx="5274310" cy="2172316"/>
            <wp:effectExtent l="19050" t="0" r="2540" b="0"/>
            <wp:docPr id="3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1723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A2B34" w:rsidRPr="00202A48" w:rsidRDefault="00AA2B34" w:rsidP="00AA2B34">
      <w:pPr>
        <w:spacing w:line="360" w:lineRule="auto"/>
        <w:ind w:firstLineChars="200" w:firstLine="422"/>
        <w:rPr>
          <w:rFonts w:asciiTheme="minorEastAsia" w:eastAsiaTheme="minorEastAsia" w:hAnsiTheme="minorEastAsia"/>
          <w:szCs w:val="21"/>
        </w:rPr>
      </w:pPr>
      <w:r w:rsidRPr="00202A48">
        <w:rPr>
          <w:rFonts w:asciiTheme="minorEastAsia" w:eastAsiaTheme="minorEastAsia" w:hAnsiTheme="minorEastAsia" w:hint="eastAsia"/>
          <w:b/>
          <w:szCs w:val="21"/>
        </w:rPr>
        <w:t>利率债方面：</w:t>
      </w:r>
      <w:r w:rsidRPr="00202A48">
        <w:rPr>
          <w:rFonts w:asciiTheme="minorEastAsia" w:eastAsiaTheme="minorEastAsia" w:hAnsiTheme="minorEastAsia" w:hint="eastAsia"/>
          <w:szCs w:val="21"/>
        </w:rPr>
        <w:t>一级市场方面，利率债中标利率普遍低于预期，倍数尚可。二级市场方面，利率债收益率继续大幅上行。具体来看，10年期国债活跃品种收益率上行约2bp，10年期金债收益率上行约15bp。周初监管新规落地并未消除市场的担忧情绪，市场在恐慌情绪下引来周三的一波收益率大幅上行，在金债方面表现尤为明显，随后收益率出现一波回调，周四口行债推迟发行，国开债下周二停发等消息提振市场，债市监管风险仍未消退，临近年末，操作仍需谨慎。</w:t>
      </w:r>
    </w:p>
    <w:p w:rsidR="00AA2B34" w:rsidRPr="00202A48" w:rsidRDefault="00AA2B34" w:rsidP="00202A48">
      <w:pPr>
        <w:spacing w:line="360" w:lineRule="auto"/>
        <w:rPr>
          <w:rFonts w:asciiTheme="minorEastAsia" w:eastAsiaTheme="minorEastAsia" w:hAnsiTheme="minorEastAsia"/>
          <w:szCs w:val="21"/>
        </w:rPr>
      </w:pPr>
      <w:r w:rsidRPr="00202A48">
        <w:rPr>
          <w:rFonts w:asciiTheme="minorEastAsia" w:eastAsiaTheme="minorEastAsia" w:hAnsiTheme="minorEastAsia" w:hint="eastAsia"/>
          <w:szCs w:val="21"/>
        </w:rPr>
        <w:t>利率债活跃品种收益率</w:t>
      </w:r>
    </w:p>
    <w:p w:rsidR="00AA2B34" w:rsidRPr="00202A48" w:rsidRDefault="00AA2B34" w:rsidP="00202A48">
      <w:pPr>
        <w:spacing w:line="360" w:lineRule="auto"/>
        <w:jc w:val="left"/>
        <w:rPr>
          <w:rFonts w:asciiTheme="minorEastAsia" w:eastAsiaTheme="minorEastAsia" w:hAnsiTheme="minorEastAsia"/>
          <w:szCs w:val="21"/>
        </w:rPr>
      </w:pPr>
      <w:r w:rsidRPr="00202A48">
        <w:rPr>
          <w:rFonts w:asciiTheme="minorEastAsia" w:eastAsiaTheme="minorEastAsia" w:hAnsiTheme="minorEastAsia"/>
          <w:noProof/>
          <w:szCs w:val="21"/>
        </w:rPr>
        <w:lastRenderedPageBreak/>
        <w:drawing>
          <wp:inline distT="0" distB="0" distL="0" distR="0">
            <wp:extent cx="4286250" cy="1733550"/>
            <wp:effectExtent l="19050" t="0" r="0" b="0"/>
            <wp:docPr id="6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0" cy="1733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02A48" w:rsidRPr="00202A48" w:rsidRDefault="00202A48" w:rsidP="00202A48">
      <w:pPr>
        <w:spacing w:line="360" w:lineRule="auto"/>
        <w:jc w:val="left"/>
        <w:rPr>
          <w:rFonts w:asciiTheme="minorEastAsia" w:eastAsiaTheme="minorEastAsia" w:hAnsiTheme="minorEastAsia"/>
          <w:szCs w:val="21"/>
        </w:rPr>
      </w:pPr>
    </w:p>
    <w:p w:rsidR="00AA2B34" w:rsidRPr="00202A48" w:rsidRDefault="00AA2B34" w:rsidP="00202A48">
      <w:pPr>
        <w:spacing w:line="360" w:lineRule="auto"/>
        <w:jc w:val="left"/>
        <w:rPr>
          <w:rFonts w:asciiTheme="minorEastAsia" w:eastAsiaTheme="minorEastAsia" w:hAnsiTheme="minorEastAsia"/>
          <w:szCs w:val="21"/>
        </w:rPr>
      </w:pPr>
      <w:r w:rsidRPr="00202A48">
        <w:rPr>
          <w:rFonts w:asciiTheme="minorEastAsia" w:eastAsiaTheme="minorEastAsia" w:hAnsiTheme="minorEastAsia" w:hint="eastAsia"/>
          <w:szCs w:val="21"/>
        </w:rPr>
        <w:t>利率债关键期限收益率曲线</w:t>
      </w:r>
    </w:p>
    <w:p w:rsidR="00AA2B34" w:rsidRPr="00202A48" w:rsidRDefault="00AA2B34" w:rsidP="00202A48">
      <w:pPr>
        <w:spacing w:line="360" w:lineRule="auto"/>
        <w:jc w:val="left"/>
        <w:rPr>
          <w:rFonts w:asciiTheme="minorEastAsia" w:eastAsiaTheme="minorEastAsia" w:hAnsiTheme="minorEastAsia"/>
          <w:szCs w:val="21"/>
          <w:highlight w:val="yellow"/>
        </w:rPr>
      </w:pPr>
      <w:r w:rsidRPr="00202A48">
        <w:rPr>
          <w:rFonts w:asciiTheme="minorEastAsia" w:eastAsiaTheme="minorEastAsia" w:hAnsiTheme="minorEastAsia"/>
          <w:noProof/>
          <w:szCs w:val="21"/>
        </w:rPr>
        <w:drawing>
          <wp:inline distT="0" distB="0" distL="0" distR="0">
            <wp:extent cx="5086350" cy="1533525"/>
            <wp:effectExtent l="19050" t="0" r="0" b="0"/>
            <wp:docPr id="18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6350" cy="1533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A2B34" w:rsidRPr="00202A48" w:rsidRDefault="00AA2B34" w:rsidP="00AA2B34">
      <w:pPr>
        <w:spacing w:line="360" w:lineRule="auto"/>
        <w:ind w:firstLineChars="200" w:firstLine="422"/>
        <w:rPr>
          <w:rFonts w:asciiTheme="minorEastAsia" w:eastAsiaTheme="minorEastAsia" w:hAnsiTheme="minorEastAsia"/>
          <w:szCs w:val="21"/>
        </w:rPr>
      </w:pPr>
      <w:r w:rsidRPr="00202A48">
        <w:rPr>
          <w:rFonts w:asciiTheme="minorEastAsia" w:eastAsiaTheme="minorEastAsia" w:hAnsiTheme="minorEastAsia" w:hint="eastAsia"/>
          <w:b/>
          <w:szCs w:val="21"/>
        </w:rPr>
        <w:t>信用债方面：</w:t>
      </w:r>
      <w:r w:rsidRPr="00202A48">
        <w:rPr>
          <w:rFonts w:asciiTheme="minorEastAsia" w:eastAsiaTheme="minorEastAsia" w:hAnsiTheme="minorEastAsia" w:hint="eastAsia"/>
          <w:szCs w:val="21"/>
        </w:rPr>
        <w:t>二级市场方面，收益率继续大幅上行。具体来看，短融成交以1个月内AAA品种为主，中票成交以3年内AAA品种为主，企业债成交以5年内AAA品种为主。短融方面，90天以上品种收益继续上行，上行幅度在20bp以内；中票、企业债方面，收益率大幅上行，上行幅度在20bp以内。</w:t>
      </w:r>
    </w:p>
    <w:p w:rsidR="00537325" w:rsidRPr="00202A48" w:rsidRDefault="00537325" w:rsidP="00754F6F">
      <w:pPr>
        <w:tabs>
          <w:tab w:val="left" w:pos="7938"/>
        </w:tabs>
        <w:autoSpaceDE w:val="0"/>
        <w:autoSpaceDN w:val="0"/>
        <w:adjustRightInd w:val="0"/>
        <w:spacing w:line="360" w:lineRule="auto"/>
        <w:ind w:firstLine="412"/>
        <w:rPr>
          <w:rFonts w:asciiTheme="minorEastAsia" w:eastAsiaTheme="minorEastAsia" w:hAnsiTheme="minorEastAsia" w:cs="Arial"/>
          <w:b/>
          <w:bCs/>
          <w:szCs w:val="21"/>
        </w:rPr>
      </w:pPr>
    </w:p>
    <w:p w:rsidR="00E558A4" w:rsidRPr="00202A48" w:rsidRDefault="00202A48" w:rsidP="00754F6F">
      <w:pPr>
        <w:tabs>
          <w:tab w:val="left" w:pos="7938"/>
        </w:tabs>
        <w:autoSpaceDE w:val="0"/>
        <w:autoSpaceDN w:val="0"/>
        <w:adjustRightInd w:val="0"/>
        <w:spacing w:line="360" w:lineRule="auto"/>
        <w:ind w:firstLine="412"/>
        <w:rPr>
          <w:rFonts w:asciiTheme="minorEastAsia" w:eastAsiaTheme="minorEastAsia" w:hAnsiTheme="minorEastAsia" w:cs="Arial"/>
          <w:b/>
          <w:bCs/>
          <w:szCs w:val="21"/>
        </w:rPr>
      </w:pPr>
      <w:r w:rsidRPr="00202A48">
        <w:rPr>
          <w:rFonts w:asciiTheme="minorEastAsia" w:eastAsiaTheme="minorEastAsia" w:hAnsiTheme="minorEastAsia" w:cs="Arial"/>
          <w:b/>
          <w:bCs/>
          <w:szCs w:val="21"/>
        </w:rPr>
        <w:t>四、公司观点</w:t>
      </w:r>
    </w:p>
    <w:p w:rsidR="008332AE" w:rsidRPr="00202A48" w:rsidRDefault="0020242D" w:rsidP="008332AE">
      <w:pPr>
        <w:tabs>
          <w:tab w:val="left" w:pos="7938"/>
        </w:tabs>
        <w:autoSpaceDE w:val="0"/>
        <w:autoSpaceDN w:val="0"/>
        <w:adjustRightInd w:val="0"/>
        <w:spacing w:line="360" w:lineRule="auto"/>
        <w:ind w:firstLine="412"/>
        <w:rPr>
          <w:rFonts w:asciiTheme="minorEastAsia" w:eastAsiaTheme="minorEastAsia" w:hAnsiTheme="minorEastAsia"/>
          <w:szCs w:val="21"/>
        </w:rPr>
      </w:pPr>
      <w:r w:rsidRPr="00202A48">
        <w:rPr>
          <w:rFonts w:asciiTheme="minorEastAsia" w:eastAsiaTheme="minorEastAsia" w:hAnsiTheme="minorEastAsia" w:hint="eastAsia"/>
          <w:szCs w:val="21"/>
        </w:rPr>
        <w:t>海外方面，美国经济仍然强劲，12月份加息基本确定，受特朗普税改不确定性影响，美债收益率先跌后涨，在2.33%-2.4%之间波动</w:t>
      </w:r>
      <w:r w:rsidR="00200294" w:rsidRPr="00202A48">
        <w:rPr>
          <w:rFonts w:asciiTheme="minorEastAsia" w:eastAsiaTheme="minorEastAsia" w:hAnsiTheme="minorEastAsia" w:hint="eastAsia"/>
          <w:szCs w:val="21"/>
        </w:rPr>
        <w:t>。</w:t>
      </w:r>
      <w:r w:rsidRPr="00202A48">
        <w:rPr>
          <w:rFonts w:asciiTheme="minorEastAsia" w:eastAsiaTheme="minorEastAsia" w:hAnsiTheme="minorEastAsia" w:hint="eastAsia"/>
          <w:szCs w:val="21"/>
        </w:rPr>
        <w:t>欧洲经济数据强劲，韩国率先加息，都对全球紧缩政策带来较强预期。</w:t>
      </w:r>
      <w:r w:rsidR="00200294" w:rsidRPr="00202A48">
        <w:rPr>
          <w:rFonts w:asciiTheme="minorEastAsia" w:eastAsiaTheme="minorEastAsia" w:hAnsiTheme="minorEastAsia" w:hint="eastAsia"/>
          <w:szCs w:val="21"/>
        </w:rPr>
        <w:t>国内方面，</w:t>
      </w:r>
      <w:r w:rsidRPr="00202A48">
        <w:rPr>
          <w:rFonts w:asciiTheme="minorEastAsia" w:eastAsiaTheme="minorEastAsia" w:hAnsiTheme="minorEastAsia" w:hint="eastAsia"/>
          <w:szCs w:val="21"/>
        </w:rPr>
        <w:t>宏观数据向好，但行业微观数据受环保因素走弱，未来经济复苏存在不确定性</w:t>
      </w:r>
      <w:r w:rsidR="006F277B" w:rsidRPr="00202A48">
        <w:rPr>
          <w:rFonts w:asciiTheme="minorEastAsia" w:eastAsiaTheme="minorEastAsia" w:hAnsiTheme="minorEastAsia" w:hint="eastAsia"/>
          <w:szCs w:val="21"/>
        </w:rPr>
        <w:t>。</w:t>
      </w:r>
      <w:r w:rsidRPr="00202A48">
        <w:rPr>
          <w:rFonts w:asciiTheme="minorEastAsia" w:eastAsiaTheme="minorEastAsia" w:hAnsiTheme="minorEastAsia" w:hint="eastAsia"/>
          <w:szCs w:val="21"/>
        </w:rPr>
        <w:t>受监管政策担忧、资金面转紧影响，债市收益率继续上行，即便本周四市场出现短期做多热情，持续性仍需观察。</w:t>
      </w:r>
      <w:r w:rsidR="008332AE" w:rsidRPr="00202A48">
        <w:rPr>
          <w:rFonts w:asciiTheme="minorEastAsia" w:eastAsiaTheme="minorEastAsia" w:hAnsiTheme="minorEastAsia" w:hint="eastAsia"/>
          <w:szCs w:val="21"/>
        </w:rPr>
        <w:t>中长期来看，</w:t>
      </w:r>
      <w:r w:rsidRPr="00202A48">
        <w:rPr>
          <w:rFonts w:asciiTheme="minorEastAsia" w:eastAsiaTheme="minorEastAsia" w:hAnsiTheme="minorEastAsia" w:hint="eastAsia"/>
          <w:szCs w:val="21"/>
        </w:rPr>
        <w:t>金融严监管及经济复苏未被证伪的大背景下，债市难有趋势性机会</w:t>
      </w:r>
      <w:r w:rsidR="008332AE" w:rsidRPr="00202A48">
        <w:rPr>
          <w:rFonts w:asciiTheme="minorEastAsia" w:eastAsiaTheme="minorEastAsia" w:hAnsiTheme="minorEastAsia" w:hint="eastAsia"/>
          <w:szCs w:val="21"/>
        </w:rPr>
        <w:t>。</w:t>
      </w:r>
    </w:p>
    <w:bookmarkEnd w:id="0"/>
    <w:bookmarkEnd w:id="1"/>
    <w:p w:rsidR="005B0176" w:rsidRDefault="008332AE" w:rsidP="009B5598">
      <w:pPr>
        <w:autoSpaceDE w:val="0"/>
        <w:autoSpaceDN w:val="0"/>
        <w:adjustRightInd w:val="0"/>
        <w:spacing w:line="360" w:lineRule="auto"/>
        <w:ind w:firstLine="412"/>
        <w:rPr>
          <w:rFonts w:asciiTheme="minorEastAsia" w:eastAsiaTheme="minorEastAsia" w:hAnsiTheme="minorEastAsia"/>
          <w:szCs w:val="21"/>
        </w:rPr>
      </w:pPr>
      <w:r w:rsidRPr="00202A48">
        <w:rPr>
          <w:rFonts w:asciiTheme="minorEastAsia" w:eastAsiaTheme="minorEastAsia" w:hAnsiTheme="minorEastAsia" w:hint="eastAsia"/>
          <w:szCs w:val="21"/>
        </w:rPr>
        <w:tab/>
        <w:t>近期建议，</w:t>
      </w:r>
      <w:r w:rsidR="00B64DD8" w:rsidRPr="00202A48">
        <w:rPr>
          <w:rFonts w:asciiTheme="minorEastAsia" w:eastAsiaTheme="minorEastAsia" w:hAnsiTheme="minorEastAsia" w:hint="eastAsia"/>
          <w:szCs w:val="21"/>
        </w:rPr>
        <w:t>谨慎对待短期市场做多情绪</w:t>
      </w:r>
      <w:r w:rsidRPr="00202A48">
        <w:rPr>
          <w:rFonts w:asciiTheme="minorEastAsia" w:eastAsiaTheme="minorEastAsia" w:hAnsiTheme="minorEastAsia" w:hint="eastAsia"/>
          <w:szCs w:val="21"/>
        </w:rPr>
        <w:t>。中期进一步关注监管政策</w:t>
      </w:r>
      <w:r w:rsidR="00BF481D" w:rsidRPr="00202A48">
        <w:rPr>
          <w:rFonts w:asciiTheme="minorEastAsia" w:eastAsiaTheme="minorEastAsia" w:hAnsiTheme="minorEastAsia" w:hint="eastAsia"/>
          <w:szCs w:val="21"/>
        </w:rPr>
        <w:t>扰动</w:t>
      </w:r>
      <w:r w:rsidR="00B64DD8" w:rsidRPr="00202A48">
        <w:rPr>
          <w:rFonts w:asciiTheme="minorEastAsia" w:eastAsiaTheme="minorEastAsia" w:hAnsiTheme="minorEastAsia" w:hint="eastAsia"/>
          <w:szCs w:val="21"/>
        </w:rPr>
        <w:t>，建议维持短久期低杠杆操作</w:t>
      </w:r>
      <w:r w:rsidRPr="00202A48">
        <w:rPr>
          <w:rFonts w:asciiTheme="minorEastAsia" w:eastAsiaTheme="minorEastAsia" w:hAnsiTheme="minorEastAsia" w:hint="eastAsia"/>
          <w:szCs w:val="21"/>
        </w:rPr>
        <w:t>。</w:t>
      </w:r>
    </w:p>
    <w:p w:rsidR="00FB450D" w:rsidRDefault="00FB450D" w:rsidP="009B5598">
      <w:pPr>
        <w:autoSpaceDE w:val="0"/>
        <w:autoSpaceDN w:val="0"/>
        <w:adjustRightInd w:val="0"/>
        <w:spacing w:line="360" w:lineRule="auto"/>
        <w:ind w:firstLine="412"/>
        <w:rPr>
          <w:rFonts w:asciiTheme="minorEastAsia" w:eastAsiaTheme="minorEastAsia" w:hAnsiTheme="minorEastAsia"/>
          <w:szCs w:val="21"/>
        </w:rPr>
      </w:pPr>
    </w:p>
    <w:p w:rsidR="00FB450D" w:rsidRDefault="00FB450D" w:rsidP="00FB450D">
      <w:pPr>
        <w:widowControl/>
        <w:ind w:firstLine="482"/>
        <w:jc w:val="left"/>
        <w:rPr>
          <w:rFonts w:asciiTheme="minorEastAsia" w:hAnsiTheme="minorEastAsia"/>
          <w:b/>
          <w:bCs/>
          <w:kern w:val="44"/>
          <w:sz w:val="24"/>
          <w:szCs w:val="44"/>
        </w:rPr>
      </w:pPr>
    </w:p>
    <w:p w:rsidR="00FB450D" w:rsidRDefault="00FB450D" w:rsidP="00FB450D">
      <w:pPr>
        <w:widowControl/>
        <w:ind w:firstLine="482"/>
        <w:jc w:val="left"/>
        <w:rPr>
          <w:rFonts w:asciiTheme="minorEastAsia" w:hAnsiTheme="minorEastAsia"/>
          <w:b/>
          <w:bCs/>
          <w:kern w:val="44"/>
          <w:sz w:val="24"/>
          <w:szCs w:val="44"/>
        </w:rPr>
      </w:pPr>
    </w:p>
    <w:p w:rsidR="00FB450D" w:rsidRDefault="00FB450D" w:rsidP="00FB450D">
      <w:pPr>
        <w:widowControl/>
        <w:ind w:firstLine="482"/>
        <w:jc w:val="left"/>
      </w:pPr>
      <w:r>
        <w:rPr>
          <w:rFonts w:asciiTheme="minorEastAsia" w:hAnsiTheme="minorEastAsia" w:hint="eastAsia"/>
          <w:b/>
          <w:bCs/>
          <w:kern w:val="44"/>
          <w:sz w:val="24"/>
          <w:szCs w:val="44"/>
        </w:rPr>
        <w:lastRenderedPageBreak/>
        <w:t>声明：</w:t>
      </w:r>
      <w:r>
        <w:t xml:space="preserve"> </w:t>
      </w:r>
    </w:p>
    <w:p w:rsidR="00FB450D" w:rsidRDefault="00FB450D" w:rsidP="00FB450D">
      <w:pPr>
        <w:widowControl/>
        <w:ind w:firstLine="420"/>
        <w:jc w:val="left"/>
      </w:pPr>
    </w:p>
    <w:p w:rsidR="00FB450D" w:rsidRPr="00FB450D" w:rsidRDefault="00FB450D" w:rsidP="00FB450D">
      <w:pPr>
        <w:widowControl/>
        <w:ind w:firstLine="420"/>
        <w:jc w:val="left"/>
        <w:rPr>
          <w:rFonts w:asciiTheme="minorEastAsia" w:eastAsiaTheme="minorEastAsia" w:hAnsiTheme="minorEastAsia"/>
          <w:szCs w:val="21"/>
        </w:rPr>
      </w:pPr>
      <w:r w:rsidRPr="00FB450D">
        <w:rPr>
          <w:rFonts w:asciiTheme="minorEastAsia" w:eastAsiaTheme="minorEastAsia" w:hAnsiTheme="minorEastAsia" w:hint="eastAsia"/>
          <w:szCs w:val="21"/>
        </w:rPr>
        <w:t xml:space="preserve">本报告中的信息均来源于已公开的资料，我公司对这些信息的准确性及完整性不作任何保证。 </w:t>
      </w:r>
    </w:p>
    <w:p w:rsidR="00FB450D" w:rsidRPr="00FB450D" w:rsidRDefault="00FB450D" w:rsidP="00FB450D">
      <w:pPr>
        <w:widowControl/>
        <w:ind w:firstLine="420"/>
        <w:jc w:val="left"/>
        <w:rPr>
          <w:rFonts w:asciiTheme="minorEastAsia" w:eastAsiaTheme="minorEastAsia" w:hAnsiTheme="minorEastAsia"/>
          <w:szCs w:val="21"/>
        </w:rPr>
      </w:pPr>
      <w:r w:rsidRPr="00FB450D">
        <w:rPr>
          <w:rFonts w:asciiTheme="minorEastAsia" w:eastAsiaTheme="minorEastAsia" w:hAnsiTheme="minorEastAsia" w:hint="eastAsia"/>
          <w:szCs w:val="21"/>
        </w:rPr>
        <w:t>在任何情况下，报告中的信息或所表达的意见并不构成证券买卖的出价或询价。在任何情况下，我公司不就报告中的任何投资做出任何形式的担保。本报告内容和意见不构成投资建议，仅供参考，使用前务必请核实，风险自负。</w:t>
      </w:r>
    </w:p>
    <w:p w:rsidR="00FB450D" w:rsidRPr="00FB450D" w:rsidRDefault="00FB450D" w:rsidP="00FB450D">
      <w:pPr>
        <w:widowControl/>
        <w:ind w:firstLine="420"/>
        <w:jc w:val="left"/>
        <w:rPr>
          <w:rFonts w:asciiTheme="minorEastAsia" w:eastAsiaTheme="minorEastAsia" w:hAnsiTheme="minorEastAsia"/>
          <w:szCs w:val="21"/>
        </w:rPr>
      </w:pPr>
      <w:r w:rsidRPr="00FB450D">
        <w:rPr>
          <w:rFonts w:asciiTheme="minorEastAsia" w:eastAsiaTheme="minorEastAsia" w:hAnsiTheme="minorEastAsia" w:hint="eastAsia"/>
          <w:szCs w:val="21"/>
        </w:rPr>
        <w:t>本报告版权归兴银基金管理有限责任公司所有，未获得兴银基金管理有限责任公司事先出面授权，任何人不得对本报告进行任何形式的发布、复制。</w:t>
      </w:r>
    </w:p>
    <w:p w:rsidR="00FB450D" w:rsidRPr="00FB450D" w:rsidRDefault="00FB450D" w:rsidP="009B5598">
      <w:pPr>
        <w:autoSpaceDE w:val="0"/>
        <w:autoSpaceDN w:val="0"/>
        <w:adjustRightInd w:val="0"/>
        <w:spacing w:line="360" w:lineRule="auto"/>
        <w:ind w:firstLine="412"/>
        <w:rPr>
          <w:rFonts w:asciiTheme="minorEastAsia" w:hAnsiTheme="minorEastAsia"/>
          <w:szCs w:val="21"/>
        </w:rPr>
      </w:pPr>
    </w:p>
    <w:sectPr w:rsidR="00FB450D" w:rsidRPr="00FB450D" w:rsidSect="00F84E80">
      <w:footerReference w:type="default" r:id="rId1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66868" w:rsidRDefault="00366868" w:rsidP="00E558A4">
      <w:r>
        <w:separator/>
      </w:r>
    </w:p>
  </w:endnote>
  <w:endnote w:type="continuationSeparator" w:id="1">
    <w:p w:rsidR="00366868" w:rsidRDefault="00366868" w:rsidP="00E558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112047"/>
      <w:docPartObj>
        <w:docPartGallery w:val="Page Numbers (Bottom of Page)"/>
        <w:docPartUnique/>
      </w:docPartObj>
    </w:sdtPr>
    <w:sdtContent>
      <w:p w:rsidR="00FB450D" w:rsidRDefault="00DB126B">
        <w:pPr>
          <w:pStyle w:val="a4"/>
          <w:jc w:val="center"/>
        </w:pPr>
        <w:fldSimple w:instr=" PAGE   \* MERGEFORMAT ">
          <w:r w:rsidR="00DA4909" w:rsidRPr="00DA4909">
            <w:rPr>
              <w:noProof/>
              <w:lang w:val="zh-CN"/>
            </w:rPr>
            <w:t>1</w:t>
          </w:r>
        </w:fldSimple>
      </w:p>
    </w:sdtContent>
  </w:sdt>
  <w:p w:rsidR="00FB450D" w:rsidRDefault="00FB450D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66868" w:rsidRDefault="00366868" w:rsidP="00E558A4">
      <w:r>
        <w:separator/>
      </w:r>
    </w:p>
  </w:footnote>
  <w:footnote w:type="continuationSeparator" w:id="1">
    <w:p w:rsidR="00366868" w:rsidRDefault="00366868" w:rsidP="00E558A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A155D5"/>
    <w:multiLevelType w:val="hybridMultilevel"/>
    <w:tmpl w:val="AC085772"/>
    <w:lvl w:ilvl="0" w:tplc="4CE20F98">
      <w:start w:val="1"/>
      <w:numFmt w:val="japaneseCounting"/>
      <w:lvlText w:val="%1、"/>
      <w:lvlJc w:val="left"/>
      <w:pPr>
        <w:ind w:left="862" w:hanging="450"/>
      </w:pPr>
      <w:rPr>
        <w:rFonts w:ascii="宋体" w:hAnsi="宋体" w:hint="default"/>
      </w:rPr>
    </w:lvl>
    <w:lvl w:ilvl="1" w:tplc="04090019" w:tentative="1">
      <w:start w:val="1"/>
      <w:numFmt w:val="lowerLetter"/>
      <w:lvlText w:val="%2)"/>
      <w:lvlJc w:val="left"/>
      <w:pPr>
        <w:ind w:left="1252" w:hanging="420"/>
      </w:pPr>
    </w:lvl>
    <w:lvl w:ilvl="2" w:tplc="0409001B" w:tentative="1">
      <w:start w:val="1"/>
      <w:numFmt w:val="lowerRoman"/>
      <w:lvlText w:val="%3."/>
      <w:lvlJc w:val="right"/>
      <w:pPr>
        <w:ind w:left="1672" w:hanging="420"/>
      </w:pPr>
    </w:lvl>
    <w:lvl w:ilvl="3" w:tplc="0409000F" w:tentative="1">
      <w:start w:val="1"/>
      <w:numFmt w:val="decimal"/>
      <w:lvlText w:val="%4."/>
      <w:lvlJc w:val="left"/>
      <w:pPr>
        <w:ind w:left="2092" w:hanging="420"/>
      </w:pPr>
    </w:lvl>
    <w:lvl w:ilvl="4" w:tplc="04090019" w:tentative="1">
      <w:start w:val="1"/>
      <w:numFmt w:val="lowerLetter"/>
      <w:lvlText w:val="%5)"/>
      <w:lvlJc w:val="left"/>
      <w:pPr>
        <w:ind w:left="2512" w:hanging="420"/>
      </w:pPr>
    </w:lvl>
    <w:lvl w:ilvl="5" w:tplc="0409001B" w:tentative="1">
      <w:start w:val="1"/>
      <w:numFmt w:val="lowerRoman"/>
      <w:lvlText w:val="%6."/>
      <w:lvlJc w:val="right"/>
      <w:pPr>
        <w:ind w:left="2932" w:hanging="420"/>
      </w:pPr>
    </w:lvl>
    <w:lvl w:ilvl="6" w:tplc="0409000F" w:tentative="1">
      <w:start w:val="1"/>
      <w:numFmt w:val="decimal"/>
      <w:lvlText w:val="%7."/>
      <w:lvlJc w:val="left"/>
      <w:pPr>
        <w:ind w:left="3352" w:hanging="420"/>
      </w:pPr>
    </w:lvl>
    <w:lvl w:ilvl="7" w:tplc="04090019" w:tentative="1">
      <w:start w:val="1"/>
      <w:numFmt w:val="lowerLetter"/>
      <w:lvlText w:val="%8)"/>
      <w:lvlJc w:val="left"/>
      <w:pPr>
        <w:ind w:left="3772" w:hanging="420"/>
      </w:pPr>
    </w:lvl>
    <w:lvl w:ilvl="8" w:tplc="0409001B" w:tentative="1">
      <w:start w:val="1"/>
      <w:numFmt w:val="lowerRoman"/>
      <w:lvlText w:val="%9."/>
      <w:lvlJc w:val="right"/>
      <w:pPr>
        <w:ind w:left="4192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2185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558A4"/>
    <w:rsid w:val="000174CF"/>
    <w:rsid w:val="00021A39"/>
    <w:rsid w:val="000359C9"/>
    <w:rsid w:val="00050FCB"/>
    <w:rsid w:val="00065622"/>
    <w:rsid w:val="00076320"/>
    <w:rsid w:val="00085ADE"/>
    <w:rsid w:val="000A7CC3"/>
    <w:rsid w:val="000C66A7"/>
    <w:rsid w:val="000D061B"/>
    <w:rsid w:val="000D082B"/>
    <w:rsid w:val="000D2739"/>
    <w:rsid w:val="000F7996"/>
    <w:rsid w:val="00105EFF"/>
    <w:rsid w:val="00115056"/>
    <w:rsid w:val="001347B0"/>
    <w:rsid w:val="00162589"/>
    <w:rsid w:val="00163435"/>
    <w:rsid w:val="00164FE2"/>
    <w:rsid w:val="00171D00"/>
    <w:rsid w:val="001A3B3F"/>
    <w:rsid w:val="001A5A55"/>
    <w:rsid w:val="001A766C"/>
    <w:rsid w:val="001B4648"/>
    <w:rsid w:val="001C4172"/>
    <w:rsid w:val="001D5050"/>
    <w:rsid w:val="001D6A14"/>
    <w:rsid w:val="001D7F5F"/>
    <w:rsid w:val="001E5AE1"/>
    <w:rsid w:val="00200294"/>
    <w:rsid w:val="0020242D"/>
    <w:rsid w:val="00202A48"/>
    <w:rsid w:val="002070BA"/>
    <w:rsid w:val="002070C3"/>
    <w:rsid w:val="00207F5F"/>
    <w:rsid w:val="002216D5"/>
    <w:rsid w:val="002623AD"/>
    <w:rsid w:val="0026259D"/>
    <w:rsid w:val="00275954"/>
    <w:rsid w:val="002810E1"/>
    <w:rsid w:val="00281C3A"/>
    <w:rsid w:val="002860FE"/>
    <w:rsid w:val="00287191"/>
    <w:rsid w:val="00290B34"/>
    <w:rsid w:val="0029707E"/>
    <w:rsid w:val="002A7C99"/>
    <w:rsid w:val="002B6D69"/>
    <w:rsid w:val="002B70BC"/>
    <w:rsid w:val="002C10E9"/>
    <w:rsid w:val="002D1CDC"/>
    <w:rsid w:val="002E184F"/>
    <w:rsid w:val="002E665A"/>
    <w:rsid w:val="002F352A"/>
    <w:rsid w:val="0030055F"/>
    <w:rsid w:val="00315648"/>
    <w:rsid w:val="00325DC2"/>
    <w:rsid w:val="003269C3"/>
    <w:rsid w:val="003357CF"/>
    <w:rsid w:val="00366868"/>
    <w:rsid w:val="003928D6"/>
    <w:rsid w:val="003958BC"/>
    <w:rsid w:val="003A12DF"/>
    <w:rsid w:val="003B5810"/>
    <w:rsid w:val="003D421D"/>
    <w:rsid w:val="003D5BBD"/>
    <w:rsid w:val="003E51C1"/>
    <w:rsid w:val="003E74C4"/>
    <w:rsid w:val="00403CEE"/>
    <w:rsid w:val="00404A92"/>
    <w:rsid w:val="00404D53"/>
    <w:rsid w:val="00406ED6"/>
    <w:rsid w:val="00427AAB"/>
    <w:rsid w:val="00427C74"/>
    <w:rsid w:val="004310A6"/>
    <w:rsid w:val="00433E6F"/>
    <w:rsid w:val="004464DF"/>
    <w:rsid w:val="00454FA2"/>
    <w:rsid w:val="00484899"/>
    <w:rsid w:val="004A329D"/>
    <w:rsid w:val="004B45C3"/>
    <w:rsid w:val="004C6671"/>
    <w:rsid w:val="004D589C"/>
    <w:rsid w:val="004D6DE0"/>
    <w:rsid w:val="004E12A6"/>
    <w:rsid w:val="004F41D6"/>
    <w:rsid w:val="004F7AC8"/>
    <w:rsid w:val="00500A2A"/>
    <w:rsid w:val="0051112D"/>
    <w:rsid w:val="00512602"/>
    <w:rsid w:val="00537325"/>
    <w:rsid w:val="00551618"/>
    <w:rsid w:val="00560D14"/>
    <w:rsid w:val="00570E36"/>
    <w:rsid w:val="00582754"/>
    <w:rsid w:val="00586808"/>
    <w:rsid w:val="0059030E"/>
    <w:rsid w:val="005B0176"/>
    <w:rsid w:val="005B11E9"/>
    <w:rsid w:val="005C4ED4"/>
    <w:rsid w:val="005D0651"/>
    <w:rsid w:val="005E54A1"/>
    <w:rsid w:val="005E7257"/>
    <w:rsid w:val="005F79B2"/>
    <w:rsid w:val="006020A4"/>
    <w:rsid w:val="0060589D"/>
    <w:rsid w:val="00613C09"/>
    <w:rsid w:val="0061496E"/>
    <w:rsid w:val="00617F70"/>
    <w:rsid w:val="00623451"/>
    <w:rsid w:val="00623863"/>
    <w:rsid w:val="006270F9"/>
    <w:rsid w:val="00631769"/>
    <w:rsid w:val="00645D5E"/>
    <w:rsid w:val="006543B2"/>
    <w:rsid w:val="006553F2"/>
    <w:rsid w:val="0065624B"/>
    <w:rsid w:val="00657182"/>
    <w:rsid w:val="006612EA"/>
    <w:rsid w:val="00686C49"/>
    <w:rsid w:val="00687C9B"/>
    <w:rsid w:val="00697109"/>
    <w:rsid w:val="006A0F21"/>
    <w:rsid w:val="006B33B1"/>
    <w:rsid w:val="006D3A50"/>
    <w:rsid w:val="006F277B"/>
    <w:rsid w:val="007023F4"/>
    <w:rsid w:val="00704FCC"/>
    <w:rsid w:val="00710283"/>
    <w:rsid w:val="00722F45"/>
    <w:rsid w:val="007276B2"/>
    <w:rsid w:val="007315EE"/>
    <w:rsid w:val="00737480"/>
    <w:rsid w:val="00754F6F"/>
    <w:rsid w:val="0075703C"/>
    <w:rsid w:val="00774689"/>
    <w:rsid w:val="0079020B"/>
    <w:rsid w:val="0079383D"/>
    <w:rsid w:val="007B2042"/>
    <w:rsid w:val="007D45E0"/>
    <w:rsid w:val="007E411F"/>
    <w:rsid w:val="007F6BA1"/>
    <w:rsid w:val="00801230"/>
    <w:rsid w:val="00807D2A"/>
    <w:rsid w:val="00817FFC"/>
    <w:rsid w:val="008245CC"/>
    <w:rsid w:val="008332AE"/>
    <w:rsid w:val="0084133E"/>
    <w:rsid w:val="00875DF0"/>
    <w:rsid w:val="00876753"/>
    <w:rsid w:val="00886AEA"/>
    <w:rsid w:val="00890B39"/>
    <w:rsid w:val="00896A1B"/>
    <w:rsid w:val="008A6DC6"/>
    <w:rsid w:val="008B7A59"/>
    <w:rsid w:val="008C1178"/>
    <w:rsid w:val="008C3E11"/>
    <w:rsid w:val="008D1C18"/>
    <w:rsid w:val="008D4EDF"/>
    <w:rsid w:val="008E134C"/>
    <w:rsid w:val="008F1044"/>
    <w:rsid w:val="0091363B"/>
    <w:rsid w:val="009266BF"/>
    <w:rsid w:val="00927AD4"/>
    <w:rsid w:val="009324F5"/>
    <w:rsid w:val="00937E2A"/>
    <w:rsid w:val="0094197A"/>
    <w:rsid w:val="00947422"/>
    <w:rsid w:val="00951D0A"/>
    <w:rsid w:val="00964B7D"/>
    <w:rsid w:val="009907CE"/>
    <w:rsid w:val="00993DDF"/>
    <w:rsid w:val="009B5598"/>
    <w:rsid w:val="009C0698"/>
    <w:rsid w:val="009C5475"/>
    <w:rsid w:val="009C6286"/>
    <w:rsid w:val="009D5D0C"/>
    <w:rsid w:val="009E6906"/>
    <w:rsid w:val="00A04A82"/>
    <w:rsid w:val="00A05FBC"/>
    <w:rsid w:val="00A13094"/>
    <w:rsid w:val="00A20849"/>
    <w:rsid w:val="00A230B1"/>
    <w:rsid w:val="00A24642"/>
    <w:rsid w:val="00A308D5"/>
    <w:rsid w:val="00A40447"/>
    <w:rsid w:val="00A66276"/>
    <w:rsid w:val="00A77AA7"/>
    <w:rsid w:val="00A834A6"/>
    <w:rsid w:val="00A84B74"/>
    <w:rsid w:val="00A85159"/>
    <w:rsid w:val="00A8593D"/>
    <w:rsid w:val="00A91335"/>
    <w:rsid w:val="00AA2B34"/>
    <w:rsid w:val="00AB007F"/>
    <w:rsid w:val="00AB072A"/>
    <w:rsid w:val="00AB6FAC"/>
    <w:rsid w:val="00AC0D75"/>
    <w:rsid w:val="00AD06A6"/>
    <w:rsid w:val="00AD4BA7"/>
    <w:rsid w:val="00AF7769"/>
    <w:rsid w:val="00B03F52"/>
    <w:rsid w:val="00B22704"/>
    <w:rsid w:val="00B64DD8"/>
    <w:rsid w:val="00B74BAC"/>
    <w:rsid w:val="00B81ACE"/>
    <w:rsid w:val="00B84BA1"/>
    <w:rsid w:val="00B91905"/>
    <w:rsid w:val="00B92DF2"/>
    <w:rsid w:val="00BA57DD"/>
    <w:rsid w:val="00BB3B34"/>
    <w:rsid w:val="00BF481D"/>
    <w:rsid w:val="00C46DA2"/>
    <w:rsid w:val="00C572A8"/>
    <w:rsid w:val="00C633C9"/>
    <w:rsid w:val="00C67859"/>
    <w:rsid w:val="00C70AF8"/>
    <w:rsid w:val="00C73542"/>
    <w:rsid w:val="00C765FE"/>
    <w:rsid w:val="00C85488"/>
    <w:rsid w:val="00C90CEE"/>
    <w:rsid w:val="00C93AED"/>
    <w:rsid w:val="00CB5DC8"/>
    <w:rsid w:val="00CB6B88"/>
    <w:rsid w:val="00CD4932"/>
    <w:rsid w:val="00CE6F0D"/>
    <w:rsid w:val="00CF77A5"/>
    <w:rsid w:val="00D072E1"/>
    <w:rsid w:val="00D1070D"/>
    <w:rsid w:val="00D14A2F"/>
    <w:rsid w:val="00D22751"/>
    <w:rsid w:val="00D333AC"/>
    <w:rsid w:val="00D33907"/>
    <w:rsid w:val="00D4168E"/>
    <w:rsid w:val="00D7385C"/>
    <w:rsid w:val="00D93740"/>
    <w:rsid w:val="00DA21F4"/>
    <w:rsid w:val="00DA4909"/>
    <w:rsid w:val="00DB126B"/>
    <w:rsid w:val="00DB14BE"/>
    <w:rsid w:val="00DB2CCE"/>
    <w:rsid w:val="00DB3A3C"/>
    <w:rsid w:val="00DD3544"/>
    <w:rsid w:val="00DF4964"/>
    <w:rsid w:val="00E06009"/>
    <w:rsid w:val="00E0754C"/>
    <w:rsid w:val="00E152B3"/>
    <w:rsid w:val="00E17B9E"/>
    <w:rsid w:val="00E22B53"/>
    <w:rsid w:val="00E558A4"/>
    <w:rsid w:val="00E57474"/>
    <w:rsid w:val="00E60E93"/>
    <w:rsid w:val="00E764F3"/>
    <w:rsid w:val="00E76FB8"/>
    <w:rsid w:val="00E8494A"/>
    <w:rsid w:val="00EC3BA1"/>
    <w:rsid w:val="00EC3F2E"/>
    <w:rsid w:val="00EC7B76"/>
    <w:rsid w:val="00ED06F6"/>
    <w:rsid w:val="00ED46AE"/>
    <w:rsid w:val="00EE0CDB"/>
    <w:rsid w:val="00EF63E2"/>
    <w:rsid w:val="00F04069"/>
    <w:rsid w:val="00F1175B"/>
    <w:rsid w:val="00F171B3"/>
    <w:rsid w:val="00F17B80"/>
    <w:rsid w:val="00F27521"/>
    <w:rsid w:val="00F52F44"/>
    <w:rsid w:val="00F7726E"/>
    <w:rsid w:val="00F84E80"/>
    <w:rsid w:val="00FB450D"/>
    <w:rsid w:val="00FC26D2"/>
    <w:rsid w:val="00FD6006"/>
    <w:rsid w:val="00FE0FF8"/>
    <w:rsid w:val="00FF3E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185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58A4"/>
    <w:pPr>
      <w:widowControl w:val="0"/>
      <w:jc w:val="both"/>
    </w:pPr>
    <w:rPr>
      <w:rFonts w:ascii="Calibri" w:eastAsia="宋体" w:hAnsi="Calibri" w:cs="黑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558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558A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558A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558A4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EC7B76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EC7B76"/>
    <w:rPr>
      <w:rFonts w:ascii="Calibri" w:eastAsia="宋体" w:hAnsi="Calibri" w:cs="黑体"/>
      <w:sz w:val="18"/>
      <w:szCs w:val="18"/>
    </w:rPr>
  </w:style>
  <w:style w:type="paragraph" w:styleId="a6">
    <w:name w:val="Normal (Web)"/>
    <w:basedOn w:val="a"/>
    <w:uiPriority w:val="99"/>
    <w:unhideWhenUsed/>
    <w:rsid w:val="001D505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Default">
    <w:name w:val="Default"/>
    <w:rsid w:val="00B84BA1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:sz w:val="24"/>
      <w:szCs w:val="24"/>
    </w:rPr>
  </w:style>
  <w:style w:type="paragraph" w:styleId="a7">
    <w:name w:val="List Paragraph"/>
    <w:basedOn w:val="a"/>
    <w:uiPriority w:val="34"/>
    <w:qFormat/>
    <w:rsid w:val="00617F70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37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1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4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1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1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94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68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4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7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0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71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image" Target="media/image7.wmf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image" Target="media/image6.wmf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wmf"/><Relationship Id="rId5" Type="http://schemas.openxmlformats.org/officeDocument/2006/relationships/footnotes" Target="footnotes.xml"/><Relationship Id="rId15" Type="http://schemas.openxmlformats.org/officeDocument/2006/relationships/image" Target="media/image9.wmf"/><Relationship Id="rId10" Type="http://schemas.openxmlformats.org/officeDocument/2006/relationships/image" Target="media/image4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image" Target="media/image8.wm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1</Pages>
  <Words>348</Words>
  <Characters>1987</Characters>
  <Application>Microsoft Office Word</Application>
  <DocSecurity>0</DocSecurity>
  <Lines>16</Lines>
  <Paragraphs>4</Paragraphs>
  <ScaleCrop>false</ScaleCrop>
  <Company>Microsoft</Company>
  <LinksUpToDate>false</LinksUpToDate>
  <CharactersWithSpaces>2331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hfjj</dc:creator>
  <cp:lastModifiedBy>林娱庭</cp:lastModifiedBy>
  <cp:revision>30</cp:revision>
  <dcterms:created xsi:type="dcterms:W3CDTF">2017-09-25T03:28:00Z</dcterms:created>
  <dcterms:modified xsi:type="dcterms:W3CDTF">2017-12-06T05:44:00Z</dcterms:modified>
</cp:coreProperties>
</file>