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61" w:rsidRDefault="000D3661" w:rsidP="000D3661">
      <w:pPr>
        <w:spacing w:line="360" w:lineRule="auto"/>
        <w:jc w:val="center"/>
        <w:rPr>
          <w:rFonts w:ascii="黑体" w:eastAsia="黑体" w:hAnsi="黑体"/>
          <w:sz w:val="32"/>
          <w:szCs w:val="32"/>
        </w:rPr>
      </w:pPr>
      <w:bookmarkStart w:id="0" w:name="OLE_LINK1"/>
      <w:bookmarkStart w:id="1" w:name="OLE_LINK2"/>
      <w:r w:rsidRPr="005F69EC">
        <w:rPr>
          <w:rFonts w:ascii="黑体" w:eastAsia="黑体" w:hAnsi="黑体" w:hint="eastAsia"/>
          <w:sz w:val="32"/>
          <w:szCs w:val="32"/>
        </w:rPr>
        <w:t>兴银基金固收周报（2017.11.</w:t>
      </w:r>
      <w:r>
        <w:rPr>
          <w:rFonts w:ascii="黑体" w:eastAsia="黑体" w:hAnsi="黑体" w:hint="eastAsia"/>
          <w:sz w:val="32"/>
          <w:szCs w:val="32"/>
        </w:rPr>
        <w:t>13</w:t>
      </w:r>
      <w:r w:rsidRPr="005F69EC">
        <w:rPr>
          <w:rFonts w:ascii="黑体" w:eastAsia="黑体" w:hAnsi="黑体" w:hint="eastAsia"/>
          <w:sz w:val="32"/>
          <w:szCs w:val="32"/>
        </w:rPr>
        <w:t>-2017.11.1</w:t>
      </w:r>
      <w:r>
        <w:rPr>
          <w:rFonts w:ascii="黑体" w:eastAsia="黑体" w:hAnsi="黑体" w:hint="eastAsia"/>
          <w:sz w:val="32"/>
          <w:szCs w:val="32"/>
        </w:rPr>
        <w:t>7</w:t>
      </w:r>
      <w:r w:rsidRPr="005F69EC">
        <w:rPr>
          <w:rFonts w:ascii="黑体" w:eastAsia="黑体" w:hAnsi="黑体" w:hint="eastAsia"/>
          <w:sz w:val="32"/>
          <w:szCs w:val="32"/>
        </w:rPr>
        <w:t>）</w:t>
      </w:r>
    </w:p>
    <w:p w:rsidR="000D3661" w:rsidRDefault="000D3661" w:rsidP="000D3661">
      <w:pPr>
        <w:spacing w:line="360" w:lineRule="auto"/>
        <w:rPr>
          <w:rFonts w:ascii="黑体" w:eastAsia="黑体" w:hAnsi="黑体"/>
          <w:sz w:val="32"/>
          <w:szCs w:val="32"/>
        </w:rPr>
      </w:pPr>
    </w:p>
    <w:p w:rsidR="00126C4E" w:rsidRPr="00126C4E" w:rsidRDefault="0061496E" w:rsidP="000D3661">
      <w:pPr>
        <w:spacing w:line="360" w:lineRule="auto"/>
        <w:ind w:firstLineChars="200" w:firstLine="422"/>
        <w:rPr>
          <w:rFonts w:asciiTheme="minorEastAsia" w:hAnsiTheme="minorEastAsia"/>
          <w:szCs w:val="21"/>
        </w:rPr>
      </w:pPr>
      <w:r w:rsidRPr="00126C4E">
        <w:rPr>
          <w:rFonts w:hint="eastAsia"/>
          <w:b/>
          <w:szCs w:val="21"/>
        </w:rPr>
        <w:t>摘要：</w:t>
      </w:r>
      <w:r w:rsidR="00004A6F" w:rsidRPr="00126C4E">
        <w:rPr>
          <w:rFonts w:asciiTheme="minorEastAsia" w:hAnsiTheme="minorEastAsia" w:hint="eastAsia"/>
          <w:b/>
          <w:szCs w:val="21"/>
        </w:rPr>
        <w:t>宏观方面：</w:t>
      </w:r>
      <w:r w:rsidR="00E40720" w:rsidRPr="00126C4E">
        <w:rPr>
          <w:rFonts w:asciiTheme="minorEastAsia" w:hAnsiTheme="minorEastAsia" w:hint="eastAsia"/>
          <w:b/>
          <w:szCs w:val="21"/>
        </w:rPr>
        <w:t>国际方面，</w:t>
      </w:r>
      <w:r w:rsidR="00126C4E" w:rsidRPr="00126C4E">
        <w:rPr>
          <w:rFonts w:asciiTheme="minorEastAsia" w:hAnsiTheme="minorEastAsia" w:hint="eastAsia"/>
          <w:b/>
          <w:szCs w:val="21"/>
        </w:rPr>
        <w:t>美国公布10</w:t>
      </w:r>
      <w:r w:rsidR="00126C4E" w:rsidRPr="00126C4E">
        <w:rPr>
          <w:rFonts w:asciiTheme="minorEastAsia" w:hAnsiTheme="minorEastAsia"/>
          <w:b/>
          <w:szCs w:val="21"/>
        </w:rPr>
        <w:t>月CPI、零售销售及房地产数据</w:t>
      </w:r>
      <w:r w:rsidR="00126C4E" w:rsidRPr="00126C4E">
        <w:rPr>
          <w:rFonts w:asciiTheme="minorEastAsia" w:hAnsiTheme="minorEastAsia" w:hint="eastAsia"/>
          <w:b/>
          <w:szCs w:val="21"/>
        </w:rPr>
        <w:t>，显示经济依旧向好；国内方面，央行公布三季度货币政策执行报告，维持稳健中性货币政策不变。本周资金面整体偏紧，早盘银行短期资金融出有限，至午后资金面普遍有所改善，15号后资金面整体转松，但宽松持续时间或有限。近期建议，短期市场波动为大概率事件，建议谨慎操作，久期不宜过长。</w:t>
      </w:r>
    </w:p>
    <w:p w:rsidR="000D3661" w:rsidRDefault="000D3661" w:rsidP="000D3661">
      <w:pPr>
        <w:spacing w:line="360" w:lineRule="auto"/>
        <w:rPr>
          <w:b/>
          <w:szCs w:val="21"/>
        </w:rPr>
      </w:pPr>
    </w:p>
    <w:p w:rsidR="006551AC" w:rsidRPr="00126C4E" w:rsidRDefault="006A71D0" w:rsidP="000D3661">
      <w:pPr>
        <w:spacing w:line="360" w:lineRule="auto"/>
        <w:ind w:firstLineChars="200" w:firstLine="422"/>
        <w:rPr>
          <w:b/>
          <w:szCs w:val="21"/>
        </w:rPr>
      </w:pPr>
      <w:r w:rsidRPr="00126C4E">
        <w:rPr>
          <w:rFonts w:hint="eastAsia"/>
          <w:b/>
          <w:szCs w:val="21"/>
        </w:rPr>
        <w:t>一、国际方面：</w:t>
      </w:r>
      <w:r w:rsidR="00FD7887" w:rsidRPr="00126C4E">
        <w:rPr>
          <w:rFonts w:hint="eastAsia"/>
          <w:b/>
          <w:szCs w:val="21"/>
        </w:rPr>
        <w:t>美国公布</w:t>
      </w:r>
      <w:r w:rsidR="00FD7887" w:rsidRPr="00126C4E">
        <w:rPr>
          <w:rFonts w:hint="eastAsia"/>
          <w:b/>
          <w:szCs w:val="21"/>
        </w:rPr>
        <w:t>10</w:t>
      </w:r>
      <w:r w:rsidR="00FD7887" w:rsidRPr="00126C4E">
        <w:rPr>
          <w:b/>
          <w:szCs w:val="21"/>
        </w:rPr>
        <w:t>月</w:t>
      </w:r>
      <w:r w:rsidR="00FD7887" w:rsidRPr="00126C4E">
        <w:rPr>
          <w:b/>
          <w:szCs w:val="21"/>
        </w:rPr>
        <w:t>CPI</w:t>
      </w:r>
      <w:r w:rsidR="00FD7887" w:rsidRPr="00126C4E">
        <w:rPr>
          <w:b/>
          <w:szCs w:val="21"/>
        </w:rPr>
        <w:t>、零售销售及房地产数据</w:t>
      </w:r>
      <w:r w:rsidR="00FD7887" w:rsidRPr="00126C4E">
        <w:rPr>
          <w:rFonts w:hint="eastAsia"/>
          <w:b/>
          <w:szCs w:val="21"/>
        </w:rPr>
        <w:t>，显示经济依旧向好</w:t>
      </w:r>
      <w:r w:rsidR="00551102" w:rsidRPr="00126C4E">
        <w:rPr>
          <w:rFonts w:hint="eastAsia"/>
          <w:b/>
          <w:szCs w:val="21"/>
        </w:rPr>
        <w:t>；</w:t>
      </w:r>
      <w:r w:rsidR="00E40720" w:rsidRPr="00126C4E">
        <w:rPr>
          <w:rFonts w:hint="eastAsia"/>
          <w:b/>
          <w:szCs w:val="21"/>
        </w:rPr>
        <w:t>国内方面：</w:t>
      </w:r>
      <w:r w:rsidR="00FD7887" w:rsidRPr="00126C4E">
        <w:rPr>
          <w:rFonts w:hint="eastAsia"/>
          <w:b/>
          <w:szCs w:val="21"/>
        </w:rPr>
        <w:t>央行公布三季度货币政策执行报告，维持稳健中性货币政策不变。</w:t>
      </w:r>
    </w:p>
    <w:p w:rsidR="00551102" w:rsidRPr="00126C4E" w:rsidRDefault="00551102" w:rsidP="006551AC">
      <w:pPr>
        <w:spacing w:line="360" w:lineRule="auto"/>
        <w:ind w:firstLineChars="196" w:firstLine="413"/>
        <w:rPr>
          <w:b/>
          <w:szCs w:val="21"/>
        </w:rPr>
      </w:pPr>
      <w:r w:rsidRPr="00126C4E">
        <w:rPr>
          <w:rFonts w:hint="eastAsia"/>
          <w:b/>
          <w:szCs w:val="21"/>
        </w:rPr>
        <w:t>国际方面，</w:t>
      </w:r>
      <w:r w:rsidR="00FA5BAF" w:rsidRPr="00126C4E">
        <w:rPr>
          <w:rFonts w:hint="eastAsia"/>
          <w:b/>
          <w:szCs w:val="21"/>
        </w:rPr>
        <w:t>美国公布</w:t>
      </w:r>
      <w:r w:rsidR="00FA5BAF" w:rsidRPr="00126C4E">
        <w:rPr>
          <w:rFonts w:hint="eastAsia"/>
          <w:b/>
          <w:szCs w:val="21"/>
        </w:rPr>
        <w:t>10</w:t>
      </w:r>
      <w:r w:rsidR="00FA5BAF" w:rsidRPr="00126C4E">
        <w:rPr>
          <w:b/>
          <w:szCs w:val="21"/>
        </w:rPr>
        <w:t>月</w:t>
      </w:r>
      <w:r w:rsidR="00FA5BAF" w:rsidRPr="00126C4E">
        <w:rPr>
          <w:b/>
          <w:szCs w:val="21"/>
        </w:rPr>
        <w:t>CPI</w:t>
      </w:r>
      <w:r w:rsidR="00FA5BAF" w:rsidRPr="00126C4E">
        <w:rPr>
          <w:b/>
          <w:szCs w:val="21"/>
        </w:rPr>
        <w:t>、零售销售及房地产数据</w:t>
      </w:r>
      <w:r w:rsidR="00FA5BAF" w:rsidRPr="00126C4E">
        <w:rPr>
          <w:rFonts w:hint="eastAsia"/>
          <w:b/>
          <w:szCs w:val="21"/>
        </w:rPr>
        <w:t>，显示经济依旧向好。</w:t>
      </w:r>
    </w:p>
    <w:p w:rsidR="00FA5BAF" w:rsidRPr="00126C4E" w:rsidRDefault="00FA5BAF" w:rsidP="00FA5BAF">
      <w:pPr>
        <w:spacing w:line="360" w:lineRule="auto"/>
        <w:ind w:firstLineChars="196" w:firstLine="412"/>
        <w:rPr>
          <w:rFonts w:ascii="宋体" w:hAnsi="宋体" w:cstheme="minorBidi"/>
          <w:szCs w:val="21"/>
        </w:rPr>
      </w:pPr>
      <w:r w:rsidRPr="00126C4E">
        <w:rPr>
          <w:rFonts w:ascii="宋体" w:hAnsi="宋体" w:cstheme="minorBidi" w:hint="eastAsia"/>
          <w:szCs w:val="21"/>
        </w:rPr>
        <w:t>美国10月CPI</w:t>
      </w:r>
      <w:r w:rsidRPr="00126C4E">
        <w:rPr>
          <w:rFonts w:ascii="宋体" w:hAnsi="宋体" w:cstheme="minorBidi"/>
          <w:szCs w:val="21"/>
        </w:rPr>
        <w:t>同比回落，但剔除能源和食品的核心CPI有所上行。</w:t>
      </w:r>
      <w:r w:rsidR="00FD7887" w:rsidRPr="00126C4E">
        <w:rPr>
          <w:rFonts w:ascii="宋体" w:hAnsi="宋体" w:cstheme="minorBidi"/>
          <w:szCs w:val="21"/>
        </w:rPr>
        <w:t>消费方面，美国10月零售销售同比较上月有所回落，但仍高于市场预期，预计美国四季度消费增长上行。房地产方面，美国10月新屋开工及营建许可超预期回升，房地产投资回暖。</w:t>
      </w:r>
      <w:r w:rsidR="00FD7887" w:rsidRPr="00126C4E">
        <w:rPr>
          <w:rFonts w:ascii="宋体" w:hAnsi="宋体" w:cstheme="minorBidi" w:hint="eastAsia"/>
          <w:szCs w:val="21"/>
        </w:rPr>
        <w:t>各项数据显示，美国经济依旧向好。</w:t>
      </w:r>
    </w:p>
    <w:p w:rsidR="00551102" w:rsidRPr="00126C4E" w:rsidRDefault="00551102" w:rsidP="00704652">
      <w:pPr>
        <w:spacing w:line="360" w:lineRule="auto"/>
        <w:ind w:firstLineChars="196" w:firstLine="413"/>
        <w:rPr>
          <w:b/>
          <w:szCs w:val="21"/>
        </w:rPr>
      </w:pPr>
      <w:r w:rsidRPr="00126C4E">
        <w:rPr>
          <w:rFonts w:hint="eastAsia"/>
          <w:b/>
          <w:szCs w:val="21"/>
        </w:rPr>
        <w:t>国内方面，</w:t>
      </w:r>
      <w:r w:rsidR="00962395" w:rsidRPr="00126C4E">
        <w:rPr>
          <w:rFonts w:hint="eastAsia"/>
          <w:b/>
          <w:szCs w:val="21"/>
        </w:rPr>
        <w:t>央行公布三季度货币政策执行报告，维持稳健中性货币政策不变。</w:t>
      </w:r>
    </w:p>
    <w:p w:rsidR="007D5ABC" w:rsidRPr="00126C4E" w:rsidRDefault="00962395" w:rsidP="002F6C28">
      <w:pPr>
        <w:spacing w:line="360" w:lineRule="auto"/>
        <w:ind w:firstLineChars="200" w:firstLine="420"/>
        <w:rPr>
          <w:rFonts w:ascii="Times New Roman" w:hAnsi="Times New Roman" w:cs="Times New Roman"/>
          <w:szCs w:val="21"/>
        </w:rPr>
      </w:pPr>
      <w:r w:rsidRPr="00126C4E">
        <w:rPr>
          <w:rFonts w:ascii="Times New Roman" w:hAnsi="Times New Roman" w:cs="Times New Roman" w:hint="eastAsia"/>
          <w:szCs w:val="21"/>
        </w:rPr>
        <w:t>周五央行公布三季度货币政策执行报告，报告指出贷款利率上升加速，超储率依然维持低位</w:t>
      </w:r>
      <w:r w:rsidR="002F6C28" w:rsidRPr="00126C4E">
        <w:rPr>
          <w:rFonts w:ascii="Times New Roman" w:hAnsi="Times New Roman" w:cs="Times New Roman" w:hint="eastAsia"/>
          <w:szCs w:val="21"/>
        </w:rPr>
        <w:t>；物价方面，央行的描述是通胀预期大致保持稳定；经济形势方面，央行的描述是结构性改善。央行货币政策</w:t>
      </w:r>
      <w:r w:rsidRPr="00126C4E">
        <w:rPr>
          <w:rFonts w:ascii="Times New Roman" w:hAnsi="Times New Roman" w:cs="Times New Roman" w:hint="eastAsia"/>
          <w:szCs w:val="21"/>
        </w:rPr>
        <w:t>不松不紧的基调没变，更着重去杠杆和防风险。</w:t>
      </w:r>
    </w:p>
    <w:p w:rsidR="00044DF9" w:rsidRPr="00126C4E" w:rsidRDefault="00044DF9" w:rsidP="00704652">
      <w:pPr>
        <w:spacing w:line="360" w:lineRule="auto"/>
        <w:ind w:firstLineChars="200" w:firstLine="420"/>
        <w:rPr>
          <w:rFonts w:ascii="宋体" w:hAnsi="宋体" w:cstheme="minorBidi"/>
          <w:szCs w:val="21"/>
        </w:rPr>
      </w:pPr>
    </w:p>
    <w:p w:rsidR="000D3661" w:rsidRDefault="0061496E" w:rsidP="000D3661">
      <w:pPr>
        <w:spacing w:line="360" w:lineRule="auto"/>
        <w:ind w:firstLineChars="196" w:firstLine="413"/>
        <w:rPr>
          <w:rFonts w:asciiTheme="minorEastAsia" w:eastAsiaTheme="minorEastAsia" w:hAnsiTheme="minorEastAsia" w:cstheme="minorBidi"/>
          <w:b/>
          <w:szCs w:val="21"/>
        </w:rPr>
      </w:pPr>
      <w:r w:rsidRPr="00126C4E">
        <w:rPr>
          <w:rFonts w:asciiTheme="minorEastAsia" w:hAnsiTheme="minorEastAsia" w:hint="eastAsia"/>
          <w:b/>
          <w:szCs w:val="21"/>
        </w:rPr>
        <w:t>二、</w:t>
      </w:r>
      <w:r w:rsidR="0076605A" w:rsidRPr="00126C4E">
        <w:rPr>
          <w:rFonts w:asciiTheme="minorEastAsia" w:hAnsiTheme="minorEastAsia" w:hint="eastAsia"/>
          <w:b/>
          <w:szCs w:val="21"/>
        </w:rPr>
        <w:t>资金面：</w:t>
      </w:r>
      <w:r w:rsidR="00126C4E" w:rsidRPr="00126C4E">
        <w:rPr>
          <w:rFonts w:asciiTheme="minorEastAsia" w:hAnsiTheme="minorEastAsia" w:hint="eastAsia"/>
          <w:b/>
          <w:szCs w:val="21"/>
        </w:rPr>
        <w:t>本周资金面整体偏紧，早盘银行短期资金融出有限，至午后资金面普遍有所改善，15号后资金面整体转松，但宽松持续时间或有限，央行最新货币政策执行报告指出“滚隔夜弥补中长期流动性缺口的过度错配行为和以短搏长过度加杠杆的激进交易策略并不可取”，后期杠杆操作需谨慎，成本控制或面临一定问题。</w:t>
      </w:r>
    </w:p>
    <w:p w:rsidR="00126C4E" w:rsidRPr="000D3661" w:rsidRDefault="00126C4E" w:rsidP="000D3661">
      <w:pPr>
        <w:spacing w:line="360" w:lineRule="auto"/>
        <w:ind w:firstLineChars="196" w:firstLine="413"/>
        <w:rPr>
          <w:rFonts w:asciiTheme="minorEastAsia" w:eastAsiaTheme="minorEastAsia" w:hAnsiTheme="minorEastAsia" w:cstheme="minorBidi"/>
          <w:b/>
          <w:szCs w:val="21"/>
        </w:rPr>
      </w:pPr>
      <w:r w:rsidRPr="00126C4E">
        <w:rPr>
          <w:rFonts w:asciiTheme="minorEastAsia" w:hAnsiTheme="minorEastAsia" w:hint="eastAsia"/>
          <w:b/>
          <w:szCs w:val="21"/>
        </w:rPr>
        <w:t>回购：</w:t>
      </w:r>
      <w:r w:rsidRPr="00126C4E">
        <w:rPr>
          <w:rFonts w:asciiTheme="minorEastAsia" w:hAnsiTheme="minorEastAsia" w:hint="eastAsia"/>
          <w:szCs w:val="21"/>
        </w:rPr>
        <w:t>本周央行公开市场净投放8100亿元，公开市场操作利率无变动，另本周MLF回笼1225亿元，国库现金定存投放400亿元。截止17日，银行间隔夜、7天品种加权利率较上周有所下行，跨月品种利率有所上行，隔夜品种利率降至2.79，成交量回升至23000亿元，交易所GC001单周加权利率上行至3.73，日均成交量仍维持在7500亿元左右。公开市场操作存量（回购+MLF）大幅回升，银行间融资余额小幅上行。本周资金面整体偏紧，早盘</w:t>
      </w:r>
      <w:r w:rsidRPr="00126C4E">
        <w:rPr>
          <w:rFonts w:asciiTheme="minorEastAsia" w:hAnsiTheme="minorEastAsia" w:hint="eastAsia"/>
          <w:szCs w:val="21"/>
        </w:rPr>
        <w:lastRenderedPageBreak/>
        <w:t>银行短期资金融出有限，至午后资金面普遍有所改善，15号后资金面整体转松，但宽松持续时间或有限，央行最新货币政策执行报告指出“滚隔夜弥补中长期流动性缺口的过度错配行为和以短搏长过度加杠杆的激进交易策略并不可取”，后期杠杆操作需谨慎，成本控制或面临一定问题。</w:t>
      </w:r>
    </w:p>
    <w:p w:rsidR="00126C4E" w:rsidRPr="00126C4E" w:rsidRDefault="00126C4E" w:rsidP="000D3661">
      <w:pPr>
        <w:spacing w:line="360" w:lineRule="auto"/>
        <w:jc w:val="left"/>
        <w:rPr>
          <w:rFonts w:asciiTheme="minorEastAsia" w:hAnsiTheme="minorEastAsia"/>
          <w:szCs w:val="21"/>
        </w:rPr>
      </w:pPr>
      <w:r w:rsidRPr="00126C4E">
        <w:rPr>
          <w:rFonts w:asciiTheme="minorEastAsia" w:hAnsiTheme="minorEastAsia" w:hint="eastAsia"/>
          <w:szCs w:val="21"/>
        </w:rPr>
        <w:t>央行公开市场操作情况</w:t>
      </w:r>
    </w:p>
    <w:p w:rsidR="00126C4E" w:rsidRPr="00126C4E" w:rsidRDefault="00126C4E" w:rsidP="00126C4E">
      <w:pPr>
        <w:spacing w:line="360" w:lineRule="auto"/>
        <w:jc w:val="center"/>
        <w:rPr>
          <w:rFonts w:asciiTheme="minorEastAsia" w:hAnsiTheme="minorEastAsia"/>
          <w:szCs w:val="21"/>
        </w:rPr>
      </w:pPr>
      <w:r w:rsidRPr="00126C4E">
        <w:rPr>
          <w:noProof/>
          <w:szCs w:val="21"/>
        </w:rPr>
        <w:drawing>
          <wp:inline distT="0" distB="0" distL="0" distR="0">
            <wp:extent cx="5274310" cy="3496641"/>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3496641"/>
                    </a:xfrm>
                    <a:prstGeom prst="rect">
                      <a:avLst/>
                    </a:prstGeom>
                    <a:noFill/>
                    <a:ln w="9525">
                      <a:noFill/>
                      <a:miter lim="800000"/>
                      <a:headEnd/>
                      <a:tailEnd/>
                    </a:ln>
                  </pic:spPr>
                </pic:pic>
              </a:graphicData>
            </a:graphic>
          </wp:inline>
        </w:drawing>
      </w:r>
    </w:p>
    <w:p w:rsidR="000D3661" w:rsidRDefault="000D3661" w:rsidP="000D3661">
      <w:pPr>
        <w:spacing w:line="360" w:lineRule="auto"/>
        <w:rPr>
          <w:rFonts w:asciiTheme="minorEastAsia" w:hAnsiTheme="minorEastAsia"/>
          <w:szCs w:val="21"/>
        </w:rPr>
      </w:pPr>
    </w:p>
    <w:p w:rsidR="00126C4E" w:rsidRPr="00126C4E" w:rsidRDefault="00126C4E" w:rsidP="000D3661">
      <w:pPr>
        <w:spacing w:line="360" w:lineRule="auto"/>
        <w:rPr>
          <w:rFonts w:asciiTheme="minorEastAsia" w:hAnsiTheme="minorEastAsia"/>
          <w:szCs w:val="21"/>
        </w:rPr>
      </w:pPr>
      <w:r w:rsidRPr="00126C4E">
        <w:rPr>
          <w:rFonts w:asciiTheme="minorEastAsia" w:hAnsiTheme="minorEastAsia" w:hint="eastAsia"/>
          <w:szCs w:val="21"/>
        </w:rPr>
        <w:t>近期银行间回购主要品种收益率较上周变动</w:t>
      </w:r>
    </w:p>
    <w:p w:rsidR="00126C4E" w:rsidRPr="00126C4E" w:rsidRDefault="00126C4E" w:rsidP="00126C4E">
      <w:pPr>
        <w:spacing w:line="360" w:lineRule="auto"/>
        <w:rPr>
          <w:rFonts w:asciiTheme="minorEastAsia" w:hAnsiTheme="minorEastAsia"/>
          <w:color w:val="FF0000"/>
          <w:szCs w:val="21"/>
        </w:rPr>
      </w:pPr>
      <w:r w:rsidRPr="00126C4E">
        <w:rPr>
          <w:noProof/>
          <w:szCs w:val="21"/>
        </w:rPr>
        <w:drawing>
          <wp:inline distT="0" distB="0" distL="0" distR="0">
            <wp:extent cx="4248150" cy="1733550"/>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48150" cy="1733550"/>
                    </a:xfrm>
                    <a:prstGeom prst="rect">
                      <a:avLst/>
                    </a:prstGeom>
                    <a:noFill/>
                    <a:ln w="9525">
                      <a:noFill/>
                      <a:miter lim="800000"/>
                      <a:headEnd/>
                      <a:tailEnd/>
                    </a:ln>
                  </pic:spPr>
                </pic:pic>
              </a:graphicData>
            </a:graphic>
          </wp:inline>
        </w:drawing>
      </w:r>
    </w:p>
    <w:p w:rsidR="00126C4E" w:rsidRPr="00126C4E" w:rsidRDefault="00126C4E" w:rsidP="00126C4E">
      <w:pPr>
        <w:spacing w:line="360" w:lineRule="auto"/>
        <w:jc w:val="center"/>
        <w:rPr>
          <w:rFonts w:asciiTheme="minorEastAsia" w:hAnsiTheme="minorEastAsia"/>
          <w:color w:val="FF0000"/>
          <w:szCs w:val="21"/>
        </w:rPr>
      </w:pPr>
      <w:r w:rsidRPr="00126C4E">
        <w:rPr>
          <w:noProof/>
          <w:szCs w:val="21"/>
        </w:rPr>
        <w:lastRenderedPageBreak/>
        <w:drawing>
          <wp:inline distT="0" distB="0" distL="0" distR="0">
            <wp:extent cx="5274310" cy="1896440"/>
            <wp:effectExtent l="19050" t="0" r="254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274310" cy="1896440"/>
                    </a:xfrm>
                    <a:prstGeom prst="rect">
                      <a:avLst/>
                    </a:prstGeom>
                    <a:noFill/>
                    <a:ln w="9525">
                      <a:noFill/>
                      <a:miter lim="800000"/>
                      <a:headEnd/>
                      <a:tailEnd/>
                    </a:ln>
                  </pic:spPr>
                </pic:pic>
              </a:graphicData>
            </a:graphic>
          </wp:inline>
        </w:drawing>
      </w:r>
    </w:p>
    <w:p w:rsidR="000D3661" w:rsidRDefault="000D3661" w:rsidP="00126C4E">
      <w:pPr>
        <w:spacing w:line="360" w:lineRule="auto"/>
        <w:ind w:firstLineChars="200" w:firstLine="420"/>
        <w:rPr>
          <w:rFonts w:asciiTheme="minorEastAsia" w:hAnsiTheme="minorEastAsia"/>
          <w:szCs w:val="21"/>
        </w:rPr>
      </w:pPr>
    </w:p>
    <w:p w:rsidR="00126C4E" w:rsidRPr="00126C4E" w:rsidRDefault="00126C4E" w:rsidP="000D3661">
      <w:pPr>
        <w:spacing w:line="360" w:lineRule="auto"/>
        <w:rPr>
          <w:rFonts w:asciiTheme="minorEastAsia" w:hAnsiTheme="minorEastAsia"/>
          <w:szCs w:val="21"/>
        </w:rPr>
      </w:pPr>
      <w:r w:rsidRPr="00126C4E">
        <w:rPr>
          <w:rFonts w:asciiTheme="minorEastAsia" w:hAnsiTheme="minorEastAsia" w:hint="eastAsia"/>
          <w:szCs w:val="21"/>
        </w:rPr>
        <w:t>交易所隔夜品种（GC001）利率变动情况</w:t>
      </w:r>
    </w:p>
    <w:p w:rsidR="00126C4E" w:rsidRPr="00126C4E" w:rsidRDefault="00126C4E" w:rsidP="00126C4E">
      <w:pPr>
        <w:spacing w:line="360" w:lineRule="auto"/>
        <w:jc w:val="center"/>
        <w:rPr>
          <w:rFonts w:asciiTheme="minorEastAsia" w:hAnsiTheme="minorEastAsia"/>
          <w:szCs w:val="21"/>
        </w:rPr>
      </w:pPr>
      <w:r w:rsidRPr="00126C4E">
        <w:rPr>
          <w:noProof/>
          <w:szCs w:val="21"/>
        </w:rPr>
        <w:drawing>
          <wp:inline distT="0" distB="0" distL="0" distR="0">
            <wp:extent cx="5274310" cy="2053548"/>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274310" cy="2053548"/>
                    </a:xfrm>
                    <a:prstGeom prst="rect">
                      <a:avLst/>
                    </a:prstGeom>
                    <a:noFill/>
                    <a:ln w="9525">
                      <a:noFill/>
                      <a:miter lim="800000"/>
                      <a:headEnd/>
                      <a:tailEnd/>
                    </a:ln>
                  </pic:spPr>
                </pic:pic>
              </a:graphicData>
            </a:graphic>
          </wp:inline>
        </w:drawing>
      </w:r>
    </w:p>
    <w:p w:rsidR="00126C4E" w:rsidRPr="00126C4E" w:rsidRDefault="00126C4E" w:rsidP="00126C4E">
      <w:pPr>
        <w:spacing w:line="360" w:lineRule="auto"/>
        <w:ind w:firstLineChars="200" w:firstLine="360"/>
        <w:rPr>
          <w:rFonts w:asciiTheme="minorEastAsia" w:hAnsiTheme="minorEastAsia"/>
          <w:sz w:val="18"/>
          <w:szCs w:val="18"/>
        </w:rPr>
      </w:pPr>
      <w:r w:rsidRPr="00126C4E">
        <w:rPr>
          <w:rFonts w:asciiTheme="minorEastAsia" w:hAnsiTheme="minorEastAsia" w:hint="eastAsia"/>
          <w:sz w:val="18"/>
          <w:szCs w:val="18"/>
        </w:rPr>
        <w:t>备注：上图表示GC001每周加权利率的变动情况</w:t>
      </w:r>
    </w:p>
    <w:p w:rsidR="00126C4E" w:rsidRPr="00126C4E" w:rsidRDefault="00126C4E" w:rsidP="00126C4E">
      <w:pPr>
        <w:spacing w:line="360" w:lineRule="auto"/>
        <w:ind w:firstLineChars="200" w:firstLine="422"/>
        <w:rPr>
          <w:rFonts w:asciiTheme="minorEastAsia" w:hAnsiTheme="minorEastAsia"/>
          <w:szCs w:val="21"/>
        </w:rPr>
      </w:pPr>
      <w:r w:rsidRPr="00126C4E">
        <w:rPr>
          <w:rFonts w:asciiTheme="minorEastAsia" w:hAnsiTheme="minorEastAsia" w:hint="eastAsia"/>
          <w:b/>
          <w:szCs w:val="21"/>
        </w:rPr>
        <w:t>同业存款：</w:t>
      </w:r>
      <w:r w:rsidRPr="00126C4E">
        <w:rPr>
          <w:rFonts w:asciiTheme="minorEastAsia" w:hAnsiTheme="minorEastAsia" w:hint="eastAsia"/>
          <w:szCs w:val="21"/>
        </w:rPr>
        <w:t>本周同业存单发行量继续小幅上行至近4600亿元，发行主要集中在6个月内品种，其中股份制银行1个月存单价格上行至4.15,3个月存单价格上行至4.88-4.95,6个月存单价格上行至4.88。同业存款方面，1至6个月存款价格均出现不同程度的上行。</w:t>
      </w:r>
    </w:p>
    <w:p w:rsidR="00126C4E" w:rsidRPr="00126C4E" w:rsidRDefault="00126C4E" w:rsidP="000D3661">
      <w:pPr>
        <w:spacing w:line="360" w:lineRule="auto"/>
        <w:rPr>
          <w:rFonts w:asciiTheme="minorEastAsia" w:hAnsiTheme="minorEastAsia"/>
          <w:szCs w:val="21"/>
        </w:rPr>
      </w:pPr>
      <w:r w:rsidRPr="00126C4E">
        <w:rPr>
          <w:rFonts w:asciiTheme="minorEastAsia" w:hAnsiTheme="minorEastAsia" w:hint="eastAsia"/>
          <w:szCs w:val="21"/>
        </w:rPr>
        <w:t>同业价格分布</w:t>
      </w:r>
    </w:p>
    <w:p w:rsidR="00126C4E" w:rsidRPr="00126C4E" w:rsidRDefault="00126C4E" w:rsidP="00126C4E">
      <w:pPr>
        <w:spacing w:line="360" w:lineRule="auto"/>
        <w:jc w:val="center"/>
        <w:rPr>
          <w:rFonts w:asciiTheme="minorEastAsia" w:hAnsiTheme="minorEastAsia"/>
          <w:szCs w:val="21"/>
        </w:rPr>
      </w:pPr>
      <w:r w:rsidRPr="00126C4E">
        <w:rPr>
          <w:noProof/>
          <w:szCs w:val="21"/>
        </w:rPr>
        <w:drawing>
          <wp:inline distT="0" distB="0" distL="0" distR="0">
            <wp:extent cx="4848225" cy="1524000"/>
            <wp:effectExtent l="19050" t="0" r="952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848225" cy="1524000"/>
                    </a:xfrm>
                    <a:prstGeom prst="rect">
                      <a:avLst/>
                    </a:prstGeom>
                    <a:noFill/>
                    <a:ln w="9525">
                      <a:noFill/>
                      <a:miter lim="800000"/>
                      <a:headEnd/>
                      <a:tailEnd/>
                    </a:ln>
                  </pic:spPr>
                </pic:pic>
              </a:graphicData>
            </a:graphic>
          </wp:inline>
        </w:drawing>
      </w:r>
    </w:p>
    <w:p w:rsidR="000D3661" w:rsidRDefault="000D3661" w:rsidP="00126C4E">
      <w:pPr>
        <w:spacing w:line="360" w:lineRule="auto"/>
        <w:rPr>
          <w:rFonts w:asciiTheme="minorEastAsia" w:hAnsiTheme="minorEastAsia"/>
          <w:b/>
          <w:szCs w:val="21"/>
        </w:rPr>
      </w:pPr>
    </w:p>
    <w:p w:rsidR="00126C4E" w:rsidRPr="00126C4E" w:rsidRDefault="0061496E" w:rsidP="000D3661">
      <w:pPr>
        <w:spacing w:line="360" w:lineRule="auto"/>
        <w:ind w:firstLineChars="200" w:firstLine="422"/>
        <w:rPr>
          <w:rFonts w:asciiTheme="minorEastAsia" w:hAnsiTheme="minorEastAsia"/>
          <w:b/>
          <w:szCs w:val="21"/>
        </w:rPr>
      </w:pPr>
      <w:r w:rsidRPr="00126C4E">
        <w:rPr>
          <w:rFonts w:asciiTheme="minorEastAsia" w:hAnsiTheme="minorEastAsia" w:hint="eastAsia"/>
          <w:b/>
          <w:szCs w:val="21"/>
        </w:rPr>
        <w:t>三、</w:t>
      </w:r>
      <w:r w:rsidR="00A0594C" w:rsidRPr="00126C4E">
        <w:rPr>
          <w:rFonts w:asciiTheme="minorEastAsia" w:hAnsiTheme="minorEastAsia" w:hint="eastAsia"/>
          <w:b/>
          <w:szCs w:val="21"/>
        </w:rPr>
        <w:t>现券：</w:t>
      </w:r>
      <w:bookmarkEnd w:id="0"/>
      <w:bookmarkEnd w:id="1"/>
      <w:r w:rsidR="00126C4E" w:rsidRPr="00126C4E">
        <w:rPr>
          <w:rFonts w:asciiTheme="minorEastAsia" w:hAnsiTheme="minorEastAsia" w:hint="eastAsia"/>
          <w:b/>
          <w:szCs w:val="21"/>
        </w:rPr>
        <w:t>周一市场延续之前弱势，收益率大幅上行，随后市场逐步企稳，周五资管新规落地后，收益率进一步下行，但目前债市大势未改，后期仍需谨慎。</w:t>
      </w:r>
    </w:p>
    <w:p w:rsidR="00126C4E" w:rsidRPr="00126C4E" w:rsidRDefault="00126C4E" w:rsidP="00126C4E">
      <w:pPr>
        <w:spacing w:line="360" w:lineRule="auto"/>
        <w:rPr>
          <w:rFonts w:asciiTheme="minorEastAsia" w:hAnsiTheme="minorEastAsia"/>
          <w:szCs w:val="21"/>
        </w:rPr>
      </w:pPr>
      <w:r w:rsidRPr="00126C4E">
        <w:rPr>
          <w:rFonts w:asciiTheme="minorEastAsia" w:hAnsiTheme="minorEastAsia" w:hint="eastAsia"/>
          <w:szCs w:val="21"/>
        </w:rPr>
        <w:lastRenderedPageBreak/>
        <w:t>现券一级市场发行情况统计</w:t>
      </w:r>
    </w:p>
    <w:p w:rsidR="00126C4E" w:rsidRPr="00126C4E" w:rsidRDefault="00126C4E" w:rsidP="00126C4E">
      <w:pPr>
        <w:spacing w:line="360" w:lineRule="auto"/>
        <w:jc w:val="center"/>
        <w:rPr>
          <w:rFonts w:asciiTheme="minorEastAsia" w:hAnsiTheme="minorEastAsia"/>
          <w:szCs w:val="21"/>
        </w:rPr>
      </w:pPr>
      <w:r w:rsidRPr="00126C4E">
        <w:rPr>
          <w:noProof/>
          <w:szCs w:val="21"/>
        </w:rPr>
        <w:drawing>
          <wp:inline distT="0" distB="0" distL="0" distR="0">
            <wp:extent cx="5153025" cy="2247900"/>
            <wp:effectExtent l="19050" t="0" r="9525"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153025" cy="2247900"/>
                    </a:xfrm>
                    <a:prstGeom prst="rect">
                      <a:avLst/>
                    </a:prstGeom>
                    <a:noFill/>
                    <a:ln w="9525">
                      <a:noFill/>
                      <a:miter lim="800000"/>
                      <a:headEnd/>
                      <a:tailEnd/>
                    </a:ln>
                  </pic:spPr>
                </pic:pic>
              </a:graphicData>
            </a:graphic>
          </wp:inline>
        </w:drawing>
      </w:r>
    </w:p>
    <w:p w:rsidR="000D3661" w:rsidRDefault="000D3661" w:rsidP="00126C4E">
      <w:pPr>
        <w:spacing w:line="360" w:lineRule="auto"/>
        <w:rPr>
          <w:rFonts w:asciiTheme="minorEastAsia" w:hAnsiTheme="minorEastAsia"/>
          <w:szCs w:val="21"/>
        </w:rPr>
      </w:pPr>
    </w:p>
    <w:p w:rsidR="00126C4E" w:rsidRPr="00126C4E" w:rsidRDefault="00126C4E" w:rsidP="00126C4E">
      <w:pPr>
        <w:spacing w:line="360" w:lineRule="auto"/>
        <w:rPr>
          <w:rFonts w:asciiTheme="minorEastAsia" w:hAnsiTheme="minorEastAsia"/>
          <w:szCs w:val="21"/>
        </w:rPr>
      </w:pPr>
      <w:r w:rsidRPr="00126C4E">
        <w:rPr>
          <w:rFonts w:asciiTheme="minorEastAsia" w:hAnsiTheme="minorEastAsia" w:hint="eastAsia"/>
          <w:szCs w:val="21"/>
        </w:rPr>
        <w:t>利率债一级市场发行情况</w:t>
      </w:r>
    </w:p>
    <w:p w:rsidR="00126C4E" w:rsidRPr="00126C4E" w:rsidRDefault="00126C4E" w:rsidP="00126C4E">
      <w:pPr>
        <w:spacing w:line="360" w:lineRule="auto"/>
        <w:jc w:val="center"/>
        <w:rPr>
          <w:rFonts w:asciiTheme="minorEastAsia" w:hAnsiTheme="minorEastAsia"/>
          <w:szCs w:val="21"/>
        </w:rPr>
      </w:pPr>
      <w:r w:rsidRPr="00126C4E">
        <w:rPr>
          <w:noProof/>
          <w:szCs w:val="21"/>
        </w:rPr>
        <w:drawing>
          <wp:inline distT="0" distB="0" distL="0" distR="0">
            <wp:extent cx="5274310" cy="2503686"/>
            <wp:effectExtent l="19050" t="0" r="254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274310" cy="2503686"/>
                    </a:xfrm>
                    <a:prstGeom prst="rect">
                      <a:avLst/>
                    </a:prstGeom>
                    <a:noFill/>
                    <a:ln w="9525">
                      <a:noFill/>
                      <a:miter lim="800000"/>
                      <a:headEnd/>
                      <a:tailEnd/>
                    </a:ln>
                  </pic:spPr>
                </pic:pic>
              </a:graphicData>
            </a:graphic>
          </wp:inline>
        </w:drawing>
      </w:r>
    </w:p>
    <w:p w:rsidR="000D3661" w:rsidRDefault="00126C4E" w:rsidP="00801F51">
      <w:pPr>
        <w:spacing w:line="360" w:lineRule="auto"/>
        <w:ind w:firstLineChars="200" w:firstLine="422"/>
        <w:rPr>
          <w:rFonts w:asciiTheme="minorEastAsia" w:hAnsiTheme="minorEastAsia"/>
          <w:szCs w:val="21"/>
        </w:rPr>
      </w:pPr>
      <w:r w:rsidRPr="00126C4E">
        <w:rPr>
          <w:rFonts w:asciiTheme="minorEastAsia" w:hAnsiTheme="minorEastAsia" w:hint="eastAsia"/>
          <w:b/>
          <w:szCs w:val="21"/>
        </w:rPr>
        <w:t>利率债方面：</w:t>
      </w:r>
      <w:r w:rsidRPr="00126C4E">
        <w:rPr>
          <w:rFonts w:asciiTheme="minorEastAsia" w:hAnsiTheme="minorEastAsia" w:hint="eastAsia"/>
          <w:szCs w:val="21"/>
        </w:rPr>
        <w:t>一级市场方面，利率债招标结果基本符合预期。二级市场方面，利率债收益率继续大幅上行。具体来看，10年期国债活跃品种收益率上行约3bp，10年期金债收益率上行约10bp。周一市场延续之前弱势，收益率大幅上行，随后市场逐步企稳，周五资管新规落地后，收益率进一步下行，但目前债市大势未改，后期仍需谨慎。</w:t>
      </w:r>
    </w:p>
    <w:p w:rsidR="00126C4E" w:rsidRPr="00126C4E" w:rsidRDefault="00126C4E" w:rsidP="000D3661">
      <w:pPr>
        <w:spacing w:line="360" w:lineRule="auto"/>
        <w:rPr>
          <w:rFonts w:asciiTheme="minorEastAsia" w:hAnsiTheme="minorEastAsia"/>
          <w:szCs w:val="21"/>
        </w:rPr>
      </w:pPr>
      <w:r w:rsidRPr="00126C4E">
        <w:rPr>
          <w:rFonts w:asciiTheme="minorEastAsia" w:hAnsiTheme="minorEastAsia" w:hint="eastAsia"/>
          <w:szCs w:val="21"/>
        </w:rPr>
        <w:t>利率债活跃品种收益率</w:t>
      </w:r>
    </w:p>
    <w:p w:rsidR="00126C4E" w:rsidRPr="00126C4E" w:rsidRDefault="00126C4E" w:rsidP="00126C4E">
      <w:pPr>
        <w:spacing w:line="360" w:lineRule="auto"/>
        <w:rPr>
          <w:rFonts w:asciiTheme="minorEastAsia" w:hAnsiTheme="minorEastAsia"/>
          <w:szCs w:val="21"/>
        </w:rPr>
      </w:pPr>
      <w:r w:rsidRPr="00126C4E">
        <w:rPr>
          <w:noProof/>
          <w:szCs w:val="21"/>
        </w:rPr>
        <w:lastRenderedPageBreak/>
        <w:drawing>
          <wp:inline distT="0" distB="0" distL="0" distR="0">
            <wp:extent cx="4286250" cy="2419350"/>
            <wp:effectExtent l="19050" t="0" r="0"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286250" cy="2419350"/>
                    </a:xfrm>
                    <a:prstGeom prst="rect">
                      <a:avLst/>
                    </a:prstGeom>
                    <a:noFill/>
                    <a:ln w="9525">
                      <a:noFill/>
                      <a:miter lim="800000"/>
                      <a:headEnd/>
                      <a:tailEnd/>
                    </a:ln>
                  </pic:spPr>
                </pic:pic>
              </a:graphicData>
            </a:graphic>
          </wp:inline>
        </w:drawing>
      </w:r>
    </w:p>
    <w:p w:rsidR="000D3661" w:rsidRDefault="000D3661" w:rsidP="000D3661">
      <w:pPr>
        <w:spacing w:line="360" w:lineRule="auto"/>
        <w:rPr>
          <w:rFonts w:asciiTheme="minorEastAsia" w:hAnsiTheme="minorEastAsia"/>
          <w:szCs w:val="21"/>
        </w:rPr>
      </w:pPr>
    </w:p>
    <w:p w:rsidR="00126C4E" w:rsidRPr="00126C4E" w:rsidRDefault="00126C4E" w:rsidP="000D3661">
      <w:pPr>
        <w:spacing w:line="360" w:lineRule="auto"/>
        <w:rPr>
          <w:rFonts w:asciiTheme="minorEastAsia" w:hAnsiTheme="minorEastAsia"/>
          <w:szCs w:val="21"/>
        </w:rPr>
      </w:pPr>
      <w:r w:rsidRPr="00126C4E">
        <w:rPr>
          <w:rFonts w:asciiTheme="minorEastAsia" w:hAnsiTheme="minorEastAsia" w:hint="eastAsia"/>
          <w:szCs w:val="21"/>
        </w:rPr>
        <w:t>利率债关键期限收益率曲线</w:t>
      </w:r>
    </w:p>
    <w:p w:rsidR="00801F51" w:rsidRPr="008B7CE8" w:rsidRDefault="00126C4E" w:rsidP="008B7CE8">
      <w:pPr>
        <w:spacing w:line="360" w:lineRule="auto"/>
        <w:jc w:val="center"/>
        <w:rPr>
          <w:rFonts w:asciiTheme="minorEastAsia" w:hAnsiTheme="minorEastAsia"/>
          <w:szCs w:val="21"/>
        </w:rPr>
      </w:pPr>
      <w:r w:rsidRPr="00126C4E">
        <w:rPr>
          <w:noProof/>
          <w:szCs w:val="21"/>
        </w:rPr>
        <w:drawing>
          <wp:inline distT="0" distB="0" distL="0" distR="0">
            <wp:extent cx="5086350" cy="1533525"/>
            <wp:effectExtent l="19050" t="0" r="0" b="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086350" cy="1533525"/>
                    </a:xfrm>
                    <a:prstGeom prst="rect">
                      <a:avLst/>
                    </a:prstGeom>
                    <a:noFill/>
                    <a:ln w="9525">
                      <a:noFill/>
                      <a:miter lim="800000"/>
                      <a:headEnd/>
                      <a:tailEnd/>
                    </a:ln>
                  </pic:spPr>
                </pic:pic>
              </a:graphicData>
            </a:graphic>
          </wp:inline>
        </w:drawing>
      </w:r>
    </w:p>
    <w:p w:rsidR="00126C4E" w:rsidRDefault="00126C4E" w:rsidP="00801F51">
      <w:pPr>
        <w:spacing w:line="360" w:lineRule="auto"/>
        <w:ind w:firstLineChars="200" w:firstLine="422"/>
        <w:rPr>
          <w:rFonts w:asciiTheme="minorEastAsia" w:hAnsiTheme="minorEastAsia"/>
          <w:szCs w:val="21"/>
        </w:rPr>
      </w:pPr>
      <w:r w:rsidRPr="00126C4E">
        <w:rPr>
          <w:rFonts w:asciiTheme="minorEastAsia" w:hAnsiTheme="minorEastAsia" w:hint="eastAsia"/>
          <w:b/>
          <w:szCs w:val="21"/>
        </w:rPr>
        <w:t>信用债方面：</w:t>
      </w:r>
      <w:r w:rsidRPr="00126C4E">
        <w:rPr>
          <w:rFonts w:asciiTheme="minorEastAsia" w:hAnsiTheme="minorEastAsia" w:hint="eastAsia"/>
          <w:szCs w:val="21"/>
        </w:rPr>
        <w:t>二级市场方面，信用债收益率继续上行。具体来看，短融成交以1个月内AA+以上品种为主，中票成交以3年内AA+以上品种为主，企业债成交以5年内AA+以上品种为主。短融方面，90天以上品种收益率上行，上行幅度在10bp以内；中票、企业债方面，收益率继续上行，上行幅度在10bp以内。</w:t>
      </w:r>
    </w:p>
    <w:p w:rsidR="00801F51" w:rsidRDefault="00801F51" w:rsidP="00801F51">
      <w:pPr>
        <w:spacing w:line="360" w:lineRule="auto"/>
        <w:ind w:firstLineChars="200" w:firstLine="422"/>
        <w:rPr>
          <w:b/>
          <w:szCs w:val="21"/>
        </w:rPr>
      </w:pPr>
    </w:p>
    <w:p w:rsidR="00801F51" w:rsidRPr="00801F51" w:rsidRDefault="00801F51" w:rsidP="00801F51">
      <w:pPr>
        <w:spacing w:line="360" w:lineRule="auto"/>
        <w:ind w:firstLineChars="200" w:firstLine="422"/>
        <w:rPr>
          <w:b/>
          <w:szCs w:val="21"/>
        </w:rPr>
      </w:pPr>
      <w:r w:rsidRPr="00801F51">
        <w:rPr>
          <w:rFonts w:hint="eastAsia"/>
          <w:b/>
          <w:szCs w:val="21"/>
        </w:rPr>
        <w:t>四、公司观点</w:t>
      </w:r>
    </w:p>
    <w:p w:rsidR="001671A9" w:rsidRDefault="001671A9" w:rsidP="00846FC8">
      <w:pPr>
        <w:spacing w:line="360" w:lineRule="auto"/>
        <w:ind w:firstLineChars="200" w:firstLine="420"/>
        <w:rPr>
          <w:rFonts w:asciiTheme="minorEastAsia" w:hAnsiTheme="minorEastAsia" w:hint="eastAsia"/>
          <w:szCs w:val="21"/>
        </w:rPr>
      </w:pPr>
      <w:r w:rsidRPr="00126C4E">
        <w:rPr>
          <w:rFonts w:asciiTheme="minorEastAsia" w:hAnsiTheme="minorEastAsia" w:hint="eastAsia"/>
          <w:szCs w:val="21"/>
        </w:rPr>
        <w:t>央行三季度货币政策执行报告维持稳健中性态度不变，强调去杠杆；资管新规征求意见稿开始规范和约束银行的表外业务发展；短期内制约收益率下行的因素仍然明显，投资者信心仍较为脆弱。近期建议，短期市场波动为大概率事件，建议</w:t>
      </w:r>
      <w:r w:rsidR="00126C4E" w:rsidRPr="00126C4E">
        <w:rPr>
          <w:rFonts w:asciiTheme="minorEastAsia" w:hAnsiTheme="minorEastAsia" w:hint="eastAsia"/>
          <w:szCs w:val="21"/>
        </w:rPr>
        <w:t>谨慎操作，久期不宜过长。</w:t>
      </w:r>
    </w:p>
    <w:p w:rsidR="008B7CE8" w:rsidRDefault="008B7CE8" w:rsidP="00846FC8">
      <w:pPr>
        <w:spacing w:line="360" w:lineRule="auto"/>
        <w:ind w:firstLineChars="200" w:firstLine="420"/>
        <w:rPr>
          <w:rFonts w:asciiTheme="minorEastAsia" w:hAnsiTheme="minorEastAsia" w:hint="eastAsia"/>
          <w:szCs w:val="21"/>
        </w:rPr>
      </w:pPr>
    </w:p>
    <w:p w:rsidR="008B7CE8" w:rsidRDefault="008B7CE8" w:rsidP="008B7CE8">
      <w:pPr>
        <w:widowControl/>
        <w:ind w:firstLine="482"/>
        <w:jc w:val="left"/>
        <w:rPr>
          <w:rFonts w:asciiTheme="minorEastAsia" w:hAnsiTheme="minorEastAsia" w:hint="eastAsia"/>
          <w:b/>
          <w:bCs/>
          <w:kern w:val="44"/>
          <w:sz w:val="24"/>
          <w:szCs w:val="44"/>
        </w:rPr>
      </w:pPr>
    </w:p>
    <w:p w:rsidR="008B7CE8" w:rsidRDefault="008B7CE8" w:rsidP="008B7CE8">
      <w:pPr>
        <w:widowControl/>
        <w:ind w:firstLine="482"/>
        <w:jc w:val="left"/>
        <w:rPr>
          <w:rFonts w:asciiTheme="minorEastAsia" w:hAnsiTheme="minorEastAsia" w:hint="eastAsia"/>
          <w:b/>
          <w:bCs/>
          <w:kern w:val="44"/>
          <w:sz w:val="24"/>
          <w:szCs w:val="44"/>
        </w:rPr>
      </w:pPr>
    </w:p>
    <w:p w:rsidR="008B7CE8" w:rsidRDefault="008B7CE8" w:rsidP="008B7CE8">
      <w:pPr>
        <w:widowControl/>
        <w:ind w:firstLine="482"/>
        <w:jc w:val="left"/>
        <w:rPr>
          <w:rFonts w:asciiTheme="minorEastAsia" w:hAnsiTheme="minorEastAsia" w:hint="eastAsia"/>
          <w:b/>
          <w:bCs/>
          <w:kern w:val="44"/>
          <w:sz w:val="24"/>
          <w:szCs w:val="44"/>
        </w:rPr>
      </w:pPr>
    </w:p>
    <w:p w:rsidR="008B7CE8" w:rsidRDefault="008B7CE8" w:rsidP="008B7CE8">
      <w:pPr>
        <w:widowControl/>
        <w:ind w:firstLine="482"/>
        <w:jc w:val="left"/>
        <w:rPr>
          <w:rFonts w:asciiTheme="minorEastAsia" w:hAnsiTheme="minorEastAsia" w:hint="eastAsia"/>
          <w:b/>
          <w:bCs/>
          <w:kern w:val="44"/>
          <w:sz w:val="24"/>
          <w:szCs w:val="44"/>
        </w:rPr>
      </w:pPr>
    </w:p>
    <w:p w:rsidR="008B7CE8" w:rsidRDefault="008B7CE8" w:rsidP="008B7CE8">
      <w:pPr>
        <w:widowControl/>
        <w:ind w:firstLine="482"/>
        <w:jc w:val="left"/>
        <w:rPr>
          <w:rFonts w:asciiTheme="minorEastAsia" w:hAnsiTheme="minorEastAsia" w:hint="eastAsia"/>
          <w:b/>
          <w:bCs/>
          <w:kern w:val="44"/>
          <w:sz w:val="24"/>
          <w:szCs w:val="44"/>
        </w:rPr>
      </w:pPr>
    </w:p>
    <w:p w:rsidR="008B7CE8" w:rsidRDefault="008B7CE8" w:rsidP="008B7CE8">
      <w:pPr>
        <w:widowControl/>
        <w:ind w:firstLine="482"/>
        <w:jc w:val="left"/>
      </w:pPr>
      <w:r w:rsidRPr="00073563">
        <w:rPr>
          <w:rFonts w:asciiTheme="minorEastAsia" w:hAnsiTheme="minorEastAsia" w:hint="eastAsia"/>
          <w:b/>
          <w:bCs/>
          <w:kern w:val="44"/>
          <w:sz w:val="24"/>
          <w:szCs w:val="44"/>
        </w:rPr>
        <w:lastRenderedPageBreak/>
        <w:t>声明：</w:t>
      </w:r>
      <w:r>
        <w:rPr>
          <w:rFonts w:hint="eastAsia"/>
        </w:rPr>
        <w:t xml:space="preserve"> </w:t>
      </w:r>
    </w:p>
    <w:p w:rsidR="008B7CE8" w:rsidRDefault="008B7CE8" w:rsidP="008B7CE8">
      <w:pPr>
        <w:widowControl/>
        <w:ind w:firstLine="420"/>
        <w:jc w:val="left"/>
      </w:pPr>
    </w:p>
    <w:p w:rsidR="008B7CE8" w:rsidRPr="005F69EC" w:rsidRDefault="008B7CE8" w:rsidP="008B7CE8">
      <w:pPr>
        <w:widowControl/>
        <w:ind w:firstLine="420"/>
        <w:jc w:val="left"/>
        <w:rPr>
          <w:rFonts w:asciiTheme="minorEastAsia" w:eastAsiaTheme="minorEastAsia" w:hAnsiTheme="minorEastAsia"/>
          <w:szCs w:val="21"/>
        </w:rPr>
      </w:pPr>
      <w:r w:rsidRPr="005F69EC">
        <w:rPr>
          <w:rFonts w:asciiTheme="minorEastAsia" w:eastAsiaTheme="minorEastAsia" w:hAnsiTheme="minorEastAsia" w:hint="eastAsia"/>
          <w:szCs w:val="21"/>
        </w:rPr>
        <w:t xml:space="preserve">本报告中的信息均来源于已公开的资料，我公司对这些信息的准确性及完整性不作任何保证。 </w:t>
      </w:r>
    </w:p>
    <w:p w:rsidR="008B7CE8" w:rsidRPr="005F69EC" w:rsidRDefault="008B7CE8" w:rsidP="008B7CE8">
      <w:pPr>
        <w:widowControl/>
        <w:ind w:firstLine="420"/>
        <w:jc w:val="left"/>
        <w:rPr>
          <w:rFonts w:asciiTheme="minorEastAsia" w:eastAsiaTheme="minorEastAsia" w:hAnsiTheme="minorEastAsia"/>
          <w:szCs w:val="21"/>
        </w:rPr>
      </w:pPr>
      <w:r w:rsidRPr="005F69EC">
        <w:rPr>
          <w:rFonts w:asciiTheme="minorEastAsia" w:eastAsiaTheme="minorEastAsia" w:hAnsiTheme="minorEastAsia" w:hint="eastAsia"/>
          <w:szCs w:val="21"/>
        </w:rPr>
        <w:t>在任何情况下，报告中的信息或所表达的意见并不构成证券买卖的出价或询价。在任何情况下，我公司不就报告中的任何投资做出任何形式的担保。本报告内容和意见不构成投资建议，仅供参考，使用前务必请核实，风险自负。</w:t>
      </w:r>
    </w:p>
    <w:p w:rsidR="008B7CE8" w:rsidRPr="005F69EC" w:rsidRDefault="008B7CE8" w:rsidP="008B7CE8">
      <w:pPr>
        <w:widowControl/>
        <w:ind w:firstLine="420"/>
        <w:jc w:val="left"/>
        <w:rPr>
          <w:rFonts w:asciiTheme="minorEastAsia" w:eastAsiaTheme="minorEastAsia" w:hAnsiTheme="minorEastAsia"/>
          <w:szCs w:val="21"/>
        </w:rPr>
      </w:pPr>
      <w:r w:rsidRPr="005F69EC">
        <w:rPr>
          <w:rFonts w:asciiTheme="minorEastAsia" w:eastAsiaTheme="minorEastAsia" w:hAnsiTheme="minorEastAsia" w:hint="eastAsia"/>
          <w:szCs w:val="21"/>
        </w:rPr>
        <w:t>本报告版权归兴银基金管理有限责任公司所有，未获得兴银基金管理有限责任公司事先出面授权，任何人不得对本报告进行任何形式的发布、复制。</w:t>
      </w:r>
    </w:p>
    <w:p w:rsidR="008B7CE8" w:rsidRPr="008B7CE8" w:rsidRDefault="008B7CE8" w:rsidP="00846FC8">
      <w:pPr>
        <w:spacing w:line="360" w:lineRule="auto"/>
        <w:ind w:firstLineChars="200" w:firstLine="420"/>
        <w:rPr>
          <w:rFonts w:asciiTheme="minorEastAsia" w:hAnsiTheme="minorEastAsia"/>
          <w:szCs w:val="21"/>
        </w:rPr>
      </w:pPr>
    </w:p>
    <w:p w:rsidR="00846FC8" w:rsidRPr="00126C4E" w:rsidRDefault="00846FC8" w:rsidP="005F28B6">
      <w:pPr>
        <w:spacing w:line="360" w:lineRule="auto"/>
        <w:ind w:firstLineChars="200" w:firstLine="420"/>
        <w:rPr>
          <w:rFonts w:asciiTheme="minorEastAsia" w:hAnsiTheme="minorEastAsia"/>
          <w:color w:val="FF0000"/>
          <w:szCs w:val="21"/>
        </w:rPr>
      </w:pPr>
    </w:p>
    <w:p w:rsidR="005B0176" w:rsidRPr="00687C9B" w:rsidRDefault="005B0176" w:rsidP="001C7C23">
      <w:pPr>
        <w:autoSpaceDE w:val="0"/>
        <w:autoSpaceDN w:val="0"/>
        <w:adjustRightInd w:val="0"/>
        <w:spacing w:line="360" w:lineRule="auto"/>
        <w:ind w:firstLine="412"/>
        <w:rPr>
          <w:rFonts w:ascii="Arial" w:hAnsi="Arial" w:cs="Arial"/>
          <w:b/>
          <w:bCs/>
          <w:szCs w:val="21"/>
        </w:rPr>
      </w:pPr>
      <w:bookmarkStart w:id="2" w:name="_GoBack"/>
      <w:bookmarkEnd w:id="2"/>
    </w:p>
    <w:sectPr w:rsidR="005B0176" w:rsidRPr="00687C9B" w:rsidSect="00F84E80">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D74" w:rsidRDefault="00032D74" w:rsidP="00E558A4">
      <w:r>
        <w:separator/>
      </w:r>
    </w:p>
  </w:endnote>
  <w:endnote w:type="continuationSeparator" w:id="1">
    <w:p w:rsidR="00032D74" w:rsidRDefault="00032D74" w:rsidP="00E558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3167"/>
      <w:docPartObj>
        <w:docPartGallery w:val="Page Numbers (Bottom of Page)"/>
        <w:docPartUnique/>
      </w:docPartObj>
    </w:sdtPr>
    <w:sdtContent>
      <w:p w:rsidR="008B7CE8" w:rsidRDefault="008B7CE8">
        <w:pPr>
          <w:pStyle w:val="a4"/>
          <w:jc w:val="center"/>
        </w:pPr>
        <w:fldSimple w:instr=" PAGE   \* MERGEFORMAT ">
          <w:r w:rsidRPr="008B7CE8">
            <w:rPr>
              <w:noProof/>
              <w:lang w:val="zh-CN"/>
            </w:rPr>
            <w:t>1</w:t>
          </w:r>
        </w:fldSimple>
      </w:p>
    </w:sdtContent>
  </w:sdt>
  <w:p w:rsidR="008B7CE8" w:rsidRDefault="008B7C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D74" w:rsidRDefault="00032D74" w:rsidP="00E558A4">
      <w:r>
        <w:separator/>
      </w:r>
    </w:p>
  </w:footnote>
  <w:footnote w:type="continuationSeparator" w:id="1">
    <w:p w:rsidR="00032D74" w:rsidRDefault="00032D74" w:rsidP="00E55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155D5"/>
    <w:multiLevelType w:val="hybridMultilevel"/>
    <w:tmpl w:val="AC085772"/>
    <w:lvl w:ilvl="0" w:tplc="4CE20F98">
      <w:start w:val="1"/>
      <w:numFmt w:val="japaneseCounting"/>
      <w:lvlText w:val="%1、"/>
      <w:lvlJc w:val="left"/>
      <w:pPr>
        <w:ind w:left="862" w:hanging="450"/>
      </w:pPr>
      <w:rPr>
        <w:rFonts w:ascii="宋体" w:hAnsi="宋体"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58A4"/>
    <w:rsid w:val="00004A6F"/>
    <w:rsid w:val="000174CF"/>
    <w:rsid w:val="00021A39"/>
    <w:rsid w:val="00032D74"/>
    <w:rsid w:val="000359C9"/>
    <w:rsid w:val="00036979"/>
    <w:rsid w:val="00044DF9"/>
    <w:rsid w:val="00050FCB"/>
    <w:rsid w:val="0005544D"/>
    <w:rsid w:val="00065622"/>
    <w:rsid w:val="00076320"/>
    <w:rsid w:val="00085ADE"/>
    <w:rsid w:val="000A7CC3"/>
    <w:rsid w:val="000D061B"/>
    <w:rsid w:val="000D2739"/>
    <w:rsid w:val="000D3661"/>
    <w:rsid w:val="000D637C"/>
    <w:rsid w:val="0010227E"/>
    <w:rsid w:val="00115056"/>
    <w:rsid w:val="00126C4E"/>
    <w:rsid w:val="001347B0"/>
    <w:rsid w:val="001365A4"/>
    <w:rsid w:val="0014570B"/>
    <w:rsid w:val="00162589"/>
    <w:rsid w:val="00163435"/>
    <w:rsid w:val="001671A9"/>
    <w:rsid w:val="00171D00"/>
    <w:rsid w:val="0017329A"/>
    <w:rsid w:val="001A3B3F"/>
    <w:rsid w:val="001A5A55"/>
    <w:rsid w:val="001B4648"/>
    <w:rsid w:val="001C4172"/>
    <w:rsid w:val="001C7C23"/>
    <w:rsid w:val="001D5050"/>
    <w:rsid w:val="001D7F5F"/>
    <w:rsid w:val="001E5AE1"/>
    <w:rsid w:val="001F509A"/>
    <w:rsid w:val="001F7F7D"/>
    <w:rsid w:val="002070BA"/>
    <w:rsid w:val="00207F5F"/>
    <w:rsid w:val="00241206"/>
    <w:rsid w:val="00244DF2"/>
    <w:rsid w:val="002623AD"/>
    <w:rsid w:val="0026259D"/>
    <w:rsid w:val="002810E1"/>
    <w:rsid w:val="002860FE"/>
    <w:rsid w:val="00287191"/>
    <w:rsid w:val="00290B34"/>
    <w:rsid w:val="002A7C99"/>
    <w:rsid w:val="002B6D69"/>
    <w:rsid w:val="002B70BC"/>
    <w:rsid w:val="002D1CDC"/>
    <w:rsid w:val="002E184F"/>
    <w:rsid w:val="002E665A"/>
    <w:rsid w:val="002F352A"/>
    <w:rsid w:val="002F6C28"/>
    <w:rsid w:val="0030055F"/>
    <w:rsid w:val="00303677"/>
    <w:rsid w:val="00325DC2"/>
    <w:rsid w:val="003269C3"/>
    <w:rsid w:val="003357CF"/>
    <w:rsid w:val="00370386"/>
    <w:rsid w:val="00383155"/>
    <w:rsid w:val="003928D6"/>
    <w:rsid w:val="003958BC"/>
    <w:rsid w:val="003A12DF"/>
    <w:rsid w:val="003A1B08"/>
    <w:rsid w:val="003B5810"/>
    <w:rsid w:val="003C1A9B"/>
    <w:rsid w:val="003D421D"/>
    <w:rsid w:val="003D5BBD"/>
    <w:rsid w:val="003E51C1"/>
    <w:rsid w:val="003E74C4"/>
    <w:rsid w:val="00403CEE"/>
    <w:rsid w:val="00404A92"/>
    <w:rsid w:val="00404D53"/>
    <w:rsid w:val="00406ED6"/>
    <w:rsid w:val="00427AAB"/>
    <w:rsid w:val="00427C74"/>
    <w:rsid w:val="004310A6"/>
    <w:rsid w:val="004464DF"/>
    <w:rsid w:val="00472F98"/>
    <w:rsid w:val="00481853"/>
    <w:rsid w:val="00484899"/>
    <w:rsid w:val="004A329D"/>
    <w:rsid w:val="004B45C3"/>
    <w:rsid w:val="004C6671"/>
    <w:rsid w:val="004D589C"/>
    <w:rsid w:val="004D6DE0"/>
    <w:rsid w:val="004E12A6"/>
    <w:rsid w:val="004F41D6"/>
    <w:rsid w:val="004F4564"/>
    <w:rsid w:val="004F7AC8"/>
    <w:rsid w:val="00500A2A"/>
    <w:rsid w:val="00506A66"/>
    <w:rsid w:val="00512602"/>
    <w:rsid w:val="005311A5"/>
    <w:rsid w:val="00551102"/>
    <w:rsid w:val="00551618"/>
    <w:rsid w:val="00560D14"/>
    <w:rsid w:val="00561878"/>
    <w:rsid w:val="00574C83"/>
    <w:rsid w:val="00582754"/>
    <w:rsid w:val="0059030E"/>
    <w:rsid w:val="005B0176"/>
    <w:rsid w:val="005B11E9"/>
    <w:rsid w:val="005C4ED4"/>
    <w:rsid w:val="005D0651"/>
    <w:rsid w:val="005D083A"/>
    <w:rsid w:val="005D21FE"/>
    <w:rsid w:val="005E54A1"/>
    <w:rsid w:val="005E7257"/>
    <w:rsid w:val="005F28B6"/>
    <w:rsid w:val="005F4658"/>
    <w:rsid w:val="005F79B2"/>
    <w:rsid w:val="006020A4"/>
    <w:rsid w:val="0060589D"/>
    <w:rsid w:val="00606C5F"/>
    <w:rsid w:val="00613C09"/>
    <w:rsid w:val="0061496E"/>
    <w:rsid w:val="00617F70"/>
    <w:rsid w:val="00623451"/>
    <w:rsid w:val="00623863"/>
    <w:rsid w:val="006270F9"/>
    <w:rsid w:val="00631769"/>
    <w:rsid w:val="00643DD6"/>
    <w:rsid w:val="006551AC"/>
    <w:rsid w:val="0065624B"/>
    <w:rsid w:val="00657182"/>
    <w:rsid w:val="00686C49"/>
    <w:rsid w:val="00687C9B"/>
    <w:rsid w:val="00697109"/>
    <w:rsid w:val="006A71D0"/>
    <w:rsid w:val="006B33B1"/>
    <w:rsid w:val="006C3832"/>
    <w:rsid w:val="006D3A50"/>
    <w:rsid w:val="007023F4"/>
    <w:rsid w:val="00704652"/>
    <w:rsid w:val="00704FCC"/>
    <w:rsid w:val="00710283"/>
    <w:rsid w:val="00710CCE"/>
    <w:rsid w:val="00725154"/>
    <w:rsid w:val="007276B2"/>
    <w:rsid w:val="007315EE"/>
    <w:rsid w:val="00737480"/>
    <w:rsid w:val="00754F6F"/>
    <w:rsid w:val="0075703C"/>
    <w:rsid w:val="0076605A"/>
    <w:rsid w:val="00774689"/>
    <w:rsid w:val="0079020B"/>
    <w:rsid w:val="0079383D"/>
    <w:rsid w:val="007B2042"/>
    <w:rsid w:val="007D2E59"/>
    <w:rsid w:val="007D45E0"/>
    <w:rsid w:val="007D5ABC"/>
    <w:rsid w:val="007E411F"/>
    <w:rsid w:val="007E7327"/>
    <w:rsid w:val="00801230"/>
    <w:rsid w:val="008014FB"/>
    <w:rsid w:val="00801F51"/>
    <w:rsid w:val="00807D2A"/>
    <w:rsid w:val="00817FFC"/>
    <w:rsid w:val="008245CC"/>
    <w:rsid w:val="0084133E"/>
    <w:rsid w:val="00846FC8"/>
    <w:rsid w:val="008516F5"/>
    <w:rsid w:val="00875DF0"/>
    <w:rsid w:val="00876753"/>
    <w:rsid w:val="00886AEA"/>
    <w:rsid w:val="00890B39"/>
    <w:rsid w:val="00896A1B"/>
    <w:rsid w:val="008A6DC6"/>
    <w:rsid w:val="008B582B"/>
    <w:rsid w:val="008B7A59"/>
    <w:rsid w:val="008B7CE8"/>
    <w:rsid w:val="008C1178"/>
    <w:rsid w:val="008D1C18"/>
    <w:rsid w:val="008D1D9E"/>
    <w:rsid w:val="008D4EDF"/>
    <w:rsid w:val="008E134C"/>
    <w:rsid w:val="008F6F79"/>
    <w:rsid w:val="0091363B"/>
    <w:rsid w:val="00924187"/>
    <w:rsid w:val="009266BF"/>
    <w:rsid w:val="00927AD4"/>
    <w:rsid w:val="009324F5"/>
    <w:rsid w:val="00937E2A"/>
    <w:rsid w:val="0094197A"/>
    <w:rsid w:val="00947422"/>
    <w:rsid w:val="00951D0A"/>
    <w:rsid w:val="00962395"/>
    <w:rsid w:val="00964B7D"/>
    <w:rsid w:val="00975D53"/>
    <w:rsid w:val="009907CE"/>
    <w:rsid w:val="00993DDF"/>
    <w:rsid w:val="009C0698"/>
    <w:rsid w:val="009C5475"/>
    <w:rsid w:val="009C6286"/>
    <w:rsid w:val="009D5D0C"/>
    <w:rsid w:val="009E6906"/>
    <w:rsid w:val="00A04A82"/>
    <w:rsid w:val="00A0594C"/>
    <w:rsid w:val="00A05FBC"/>
    <w:rsid w:val="00A13094"/>
    <w:rsid w:val="00A20849"/>
    <w:rsid w:val="00A230B1"/>
    <w:rsid w:val="00A24642"/>
    <w:rsid w:val="00A308D5"/>
    <w:rsid w:val="00A343E0"/>
    <w:rsid w:val="00A40447"/>
    <w:rsid w:val="00A66276"/>
    <w:rsid w:val="00A77AA7"/>
    <w:rsid w:val="00A8345F"/>
    <w:rsid w:val="00A84B74"/>
    <w:rsid w:val="00A85159"/>
    <w:rsid w:val="00A8593D"/>
    <w:rsid w:val="00AB007F"/>
    <w:rsid w:val="00AB6FAC"/>
    <w:rsid w:val="00AC0D75"/>
    <w:rsid w:val="00AD06A6"/>
    <w:rsid w:val="00AD382C"/>
    <w:rsid w:val="00AD4BA7"/>
    <w:rsid w:val="00AF4D6D"/>
    <w:rsid w:val="00AF7769"/>
    <w:rsid w:val="00B22704"/>
    <w:rsid w:val="00B74BAC"/>
    <w:rsid w:val="00B81ACE"/>
    <w:rsid w:val="00B84BA1"/>
    <w:rsid w:val="00B91905"/>
    <w:rsid w:val="00B92DF2"/>
    <w:rsid w:val="00B96816"/>
    <w:rsid w:val="00BA57DD"/>
    <w:rsid w:val="00BB3B34"/>
    <w:rsid w:val="00BB5001"/>
    <w:rsid w:val="00BD3078"/>
    <w:rsid w:val="00BF4F43"/>
    <w:rsid w:val="00C46DA2"/>
    <w:rsid w:val="00C633C9"/>
    <w:rsid w:val="00C67859"/>
    <w:rsid w:val="00C70AF8"/>
    <w:rsid w:val="00C73542"/>
    <w:rsid w:val="00C75506"/>
    <w:rsid w:val="00C90CEE"/>
    <w:rsid w:val="00C93AED"/>
    <w:rsid w:val="00CB0DCE"/>
    <w:rsid w:val="00CB6B88"/>
    <w:rsid w:val="00CD5522"/>
    <w:rsid w:val="00CE6F0D"/>
    <w:rsid w:val="00CF77A5"/>
    <w:rsid w:val="00D072E1"/>
    <w:rsid w:val="00D1070D"/>
    <w:rsid w:val="00D14A2F"/>
    <w:rsid w:val="00D22751"/>
    <w:rsid w:val="00D33907"/>
    <w:rsid w:val="00D4168E"/>
    <w:rsid w:val="00D70125"/>
    <w:rsid w:val="00D7385C"/>
    <w:rsid w:val="00D93740"/>
    <w:rsid w:val="00D93F0F"/>
    <w:rsid w:val="00DA21F4"/>
    <w:rsid w:val="00DA5CC8"/>
    <w:rsid w:val="00DB14BE"/>
    <w:rsid w:val="00DB2CCE"/>
    <w:rsid w:val="00DB3A3C"/>
    <w:rsid w:val="00DD3544"/>
    <w:rsid w:val="00DF4964"/>
    <w:rsid w:val="00E06009"/>
    <w:rsid w:val="00E0754C"/>
    <w:rsid w:val="00E152B3"/>
    <w:rsid w:val="00E17B9E"/>
    <w:rsid w:val="00E22B53"/>
    <w:rsid w:val="00E32921"/>
    <w:rsid w:val="00E40720"/>
    <w:rsid w:val="00E558A4"/>
    <w:rsid w:val="00E57474"/>
    <w:rsid w:val="00E76FB8"/>
    <w:rsid w:val="00E8494A"/>
    <w:rsid w:val="00EC3BA1"/>
    <w:rsid w:val="00EC3F2E"/>
    <w:rsid w:val="00EC7B76"/>
    <w:rsid w:val="00ED06F6"/>
    <w:rsid w:val="00ED46AE"/>
    <w:rsid w:val="00EE0CDB"/>
    <w:rsid w:val="00EF63E2"/>
    <w:rsid w:val="00F04069"/>
    <w:rsid w:val="00F1175B"/>
    <w:rsid w:val="00F171B3"/>
    <w:rsid w:val="00F17B80"/>
    <w:rsid w:val="00F52F44"/>
    <w:rsid w:val="00F67D7F"/>
    <w:rsid w:val="00F84E80"/>
    <w:rsid w:val="00F92287"/>
    <w:rsid w:val="00FA5BAF"/>
    <w:rsid w:val="00FD3B2D"/>
    <w:rsid w:val="00FD7887"/>
    <w:rsid w:val="00FE0FF8"/>
    <w:rsid w:val="00FE7A9A"/>
    <w:rsid w:val="00FF3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A4"/>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58A4"/>
    <w:rPr>
      <w:sz w:val="18"/>
      <w:szCs w:val="18"/>
    </w:rPr>
  </w:style>
  <w:style w:type="paragraph" w:styleId="a4">
    <w:name w:val="footer"/>
    <w:basedOn w:val="a"/>
    <w:link w:val="Char0"/>
    <w:uiPriority w:val="99"/>
    <w:unhideWhenUsed/>
    <w:rsid w:val="00E558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58A4"/>
    <w:rPr>
      <w:sz w:val="18"/>
      <w:szCs w:val="18"/>
    </w:rPr>
  </w:style>
  <w:style w:type="paragraph" w:styleId="a5">
    <w:name w:val="Balloon Text"/>
    <w:basedOn w:val="a"/>
    <w:link w:val="Char1"/>
    <w:uiPriority w:val="99"/>
    <w:semiHidden/>
    <w:unhideWhenUsed/>
    <w:rsid w:val="00EC7B76"/>
    <w:rPr>
      <w:sz w:val="18"/>
      <w:szCs w:val="18"/>
    </w:rPr>
  </w:style>
  <w:style w:type="character" w:customStyle="1" w:styleId="Char1">
    <w:name w:val="批注框文本 Char"/>
    <w:basedOn w:val="a0"/>
    <w:link w:val="a5"/>
    <w:uiPriority w:val="99"/>
    <w:semiHidden/>
    <w:rsid w:val="00EC7B76"/>
    <w:rPr>
      <w:rFonts w:ascii="Calibri" w:eastAsia="宋体" w:hAnsi="Calibri" w:cs="黑体"/>
      <w:sz w:val="18"/>
      <w:szCs w:val="18"/>
    </w:rPr>
  </w:style>
  <w:style w:type="paragraph" w:styleId="a6">
    <w:name w:val="Normal (Web)"/>
    <w:basedOn w:val="a"/>
    <w:uiPriority w:val="99"/>
    <w:unhideWhenUsed/>
    <w:rsid w:val="001D5050"/>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B84BA1"/>
    <w:pPr>
      <w:widowControl w:val="0"/>
      <w:autoSpaceDE w:val="0"/>
      <w:autoSpaceDN w:val="0"/>
      <w:adjustRightInd w:val="0"/>
    </w:pPr>
    <w:rPr>
      <w:rFonts w:ascii="Times New Roman" w:hAnsi="Times New Roman" w:cs="Times New Roman"/>
      <w:color w:val="000000"/>
      <w:kern w:val="0"/>
      <w:sz w:val="24"/>
      <w:szCs w:val="24"/>
    </w:rPr>
  </w:style>
  <w:style w:type="paragraph" w:styleId="a7">
    <w:name w:val="List Paragraph"/>
    <w:basedOn w:val="a"/>
    <w:uiPriority w:val="34"/>
    <w:qFormat/>
    <w:rsid w:val="00617F70"/>
    <w:pPr>
      <w:ind w:firstLineChars="200" w:firstLine="420"/>
    </w:pPr>
  </w:style>
</w:styles>
</file>

<file path=word/webSettings.xml><?xml version="1.0" encoding="utf-8"?>
<w:webSettings xmlns:r="http://schemas.openxmlformats.org/officeDocument/2006/relationships" xmlns:w="http://schemas.openxmlformats.org/wordprocessingml/2006/main">
  <w:divs>
    <w:div w:id="26377642">
      <w:bodyDiv w:val="1"/>
      <w:marLeft w:val="0"/>
      <w:marRight w:val="0"/>
      <w:marTop w:val="0"/>
      <w:marBottom w:val="0"/>
      <w:divBdr>
        <w:top w:val="none" w:sz="0" w:space="0" w:color="auto"/>
        <w:left w:val="none" w:sz="0" w:space="0" w:color="auto"/>
        <w:bottom w:val="none" w:sz="0" w:space="0" w:color="auto"/>
        <w:right w:val="none" w:sz="0" w:space="0" w:color="auto"/>
      </w:divBdr>
    </w:div>
    <w:div w:id="37631115">
      <w:bodyDiv w:val="1"/>
      <w:marLeft w:val="0"/>
      <w:marRight w:val="0"/>
      <w:marTop w:val="0"/>
      <w:marBottom w:val="0"/>
      <w:divBdr>
        <w:top w:val="none" w:sz="0" w:space="0" w:color="auto"/>
        <w:left w:val="none" w:sz="0" w:space="0" w:color="auto"/>
        <w:bottom w:val="none" w:sz="0" w:space="0" w:color="auto"/>
        <w:right w:val="none" w:sz="0" w:space="0" w:color="auto"/>
      </w:divBdr>
    </w:div>
    <w:div w:id="58679004">
      <w:bodyDiv w:val="1"/>
      <w:marLeft w:val="0"/>
      <w:marRight w:val="0"/>
      <w:marTop w:val="0"/>
      <w:marBottom w:val="0"/>
      <w:divBdr>
        <w:top w:val="none" w:sz="0" w:space="0" w:color="auto"/>
        <w:left w:val="none" w:sz="0" w:space="0" w:color="auto"/>
        <w:bottom w:val="none" w:sz="0" w:space="0" w:color="auto"/>
        <w:right w:val="none" w:sz="0" w:space="0" w:color="auto"/>
      </w:divBdr>
    </w:div>
    <w:div w:id="133717853">
      <w:bodyDiv w:val="1"/>
      <w:marLeft w:val="0"/>
      <w:marRight w:val="0"/>
      <w:marTop w:val="0"/>
      <w:marBottom w:val="0"/>
      <w:divBdr>
        <w:top w:val="none" w:sz="0" w:space="0" w:color="auto"/>
        <w:left w:val="none" w:sz="0" w:space="0" w:color="auto"/>
        <w:bottom w:val="none" w:sz="0" w:space="0" w:color="auto"/>
        <w:right w:val="none" w:sz="0" w:space="0" w:color="auto"/>
      </w:divBdr>
    </w:div>
    <w:div w:id="186262963">
      <w:bodyDiv w:val="1"/>
      <w:marLeft w:val="0"/>
      <w:marRight w:val="0"/>
      <w:marTop w:val="0"/>
      <w:marBottom w:val="0"/>
      <w:divBdr>
        <w:top w:val="none" w:sz="0" w:space="0" w:color="auto"/>
        <w:left w:val="none" w:sz="0" w:space="0" w:color="auto"/>
        <w:bottom w:val="none" w:sz="0" w:space="0" w:color="auto"/>
        <w:right w:val="none" w:sz="0" w:space="0" w:color="auto"/>
      </w:divBdr>
    </w:div>
    <w:div w:id="408234615">
      <w:bodyDiv w:val="1"/>
      <w:marLeft w:val="0"/>
      <w:marRight w:val="0"/>
      <w:marTop w:val="0"/>
      <w:marBottom w:val="0"/>
      <w:divBdr>
        <w:top w:val="none" w:sz="0" w:space="0" w:color="auto"/>
        <w:left w:val="none" w:sz="0" w:space="0" w:color="auto"/>
        <w:bottom w:val="none" w:sz="0" w:space="0" w:color="auto"/>
        <w:right w:val="none" w:sz="0" w:space="0" w:color="auto"/>
      </w:divBdr>
    </w:div>
    <w:div w:id="541985812">
      <w:bodyDiv w:val="1"/>
      <w:marLeft w:val="0"/>
      <w:marRight w:val="0"/>
      <w:marTop w:val="0"/>
      <w:marBottom w:val="0"/>
      <w:divBdr>
        <w:top w:val="none" w:sz="0" w:space="0" w:color="auto"/>
        <w:left w:val="none" w:sz="0" w:space="0" w:color="auto"/>
        <w:bottom w:val="none" w:sz="0" w:space="0" w:color="auto"/>
        <w:right w:val="none" w:sz="0" w:space="0" w:color="auto"/>
      </w:divBdr>
    </w:div>
    <w:div w:id="650210682">
      <w:bodyDiv w:val="1"/>
      <w:marLeft w:val="0"/>
      <w:marRight w:val="0"/>
      <w:marTop w:val="0"/>
      <w:marBottom w:val="0"/>
      <w:divBdr>
        <w:top w:val="none" w:sz="0" w:space="0" w:color="auto"/>
        <w:left w:val="none" w:sz="0" w:space="0" w:color="auto"/>
        <w:bottom w:val="none" w:sz="0" w:space="0" w:color="auto"/>
        <w:right w:val="none" w:sz="0" w:space="0" w:color="auto"/>
      </w:divBdr>
    </w:div>
    <w:div w:id="710882675">
      <w:bodyDiv w:val="1"/>
      <w:marLeft w:val="0"/>
      <w:marRight w:val="0"/>
      <w:marTop w:val="0"/>
      <w:marBottom w:val="0"/>
      <w:divBdr>
        <w:top w:val="none" w:sz="0" w:space="0" w:color="auto"/>
        <w:left w:val="none" w:sz="0" w:space="0" w:color="auto"/>
        <w:bottom w:val="none" w:sz="0" w:space="0" w:color="auto"/>
        <w:right w:val="none" w:sz="0" w:space="0" w:color="auto"/>
      </w:divBdr>
    </w:div>
    <w:div w:id="1031416771">
      <w:bodyDiv w:val="1"/>
      <w:marLeft w:val="0"/>
      <w:marRight w:val="0"/>
      <w:marTop w:val="0"/>
      <w:marBottom w:val="0"/>
      <w:divBdr>
        <w:top w:val="none" w:sz="0" w:space="0" w:color="auto"/>
        <w:left w:val="none" w:sz="0" w:space="0" w:color="auto"/>
        <w:bottom w:val="none" w:sz="0" w:space="0" w:color="auto"/>
        <w:right w:val="none" w:sz="0" w:space="0" w:color="auto"/>
      </w:divBdr>
    </w:div>
    <w:div w:id="1151410597">
      <w:bodyDiv w:val="1"/>
      <w:marLeft w:val="0"/>
      <w:marRight w:val="0"/>
      <w:marTop w:val="0"/>
      <w:marBottom w:val="0"/>
      <w:divBdr>
        <w:top w:val="none" w:sz="0" w:space="0" w:color="auto"/>
        <w:left w:val="none" w:sz="0" w:space="0" w:color="auto"/>
        <w:bottom w:val="none" w:sz="0" w:space="0" w:color="auto"/>
        <w:right w:val="none" w:sz="0" w:space="0" w:color="auto"/>
      </w:divBdr>
      <w:divsChild>
        <w:div w:id="1476944454">
          <w:marLeft w:val="0"/>
          <w:marRight w:val="0"/>
          <w:marTop w:val="0"/>
          <w:marBottom w:val="0"/>
          <w:divBdr>
            <w:top w:val="none" w:sz="0" w:space="0" w:color="auto"/>
            <w:left w:val="none" w:sz="0" w:space="0" w:color="auto"/>
            <w:bottom w:val="none" w:sz="0" w:space="0" w:color="auto"/>
            <w:right w:val="none" w:sz="0" w:space="0" w:color="auto"/>
          </w:divBdr>
        </w:div>
      </w:divsChild>
    </w:div>
    <w:div w:id="1522279859">
      <w:bodyDiv w:val="1"/>
      <w:marLeft w:val="0"/>
      <w:marRight w:val="0"/>
      <w:marTop w:val="0"/>
      <w:marBottom w:val="0"/>
      <w:divBdr>
        <w:top w:val="none" w:sz="0" w:space="0" w:color="auto"/>
        <w:left w:val="none" w:sz="0" w:space="0" w:color="auto"/>
        <w:bottom w:val="none" w:sz="0" w:space="0" w:color="auto"/>
        <w:right w:val="none" w:sz="0" w:space="0" w:color="auto"/>
      </w:divBdr>
    </w:div>
    <w:div w:id="2058308869">
      <w:bodyDiv w:val="1"/>
      <w:marLeft w:val="0"/>
      <w:marRight w:val="0"/>
      <w:marTop w:val="0"/>
      <w:marBottom w:val="0"/>
      <w:divBdr>
        <w:top w:val="none" w:sz="0" w:space="0" w:color="auto"/>
        <w:left w:val="none" w:sz="0" w:space="0" w:color="auto"/>
        <w:bottom w:val="none" w:sz="0" w:space="0" w:color="auto"/>
        <w:right w:val="none" w:sz="0" w:space="0" w:color="auto"/>
      </w:divBdr>
    </w:div>
    <w:div w:id="21005632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52FF-8AE9-4BAC-A710-D9F6B333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310</Words>
  <Characters>1770</Characters>
  <Application>Microsoft Office Word</Application>
  <DocSecurity>0</DocSecurity>
  <Lines>14</Lines>
  <Paragraphs>4</Paragraphs>
  <ScaleCrop>false</ScaleCrop>
  <Company>Microsoft</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hfjj</dc:creator>
  <cp:lastModifiedBy>林娱庭</cp:lastModifiedBy>
  <cp:revision>8</cp:revision>
  <dcterms:created xsi:type="dcterms:W3CDTF">2017-11-17T08:43:00Z</dcterms:created>
  <dcterms:modified xsi:type="dcterms:W3CDTF">2017-12-06T02:46:00Z</dcterms:modified>
</cp:coreProperties>
</file>