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EC6" w:rsidRPr="00526913" w:rsidRDefault="00526913" w:rsidP="00526913">
      <w:pPr>
        <w:spacing w:line="360" w:lineRule="auto"/>
        <w:jc w:val="center"/>
        <w:rPr>
          <w:rFonts w:ascii="黑体" w:eastAsia="黑体" w:hAnsi="黑体"/>
          <w:sz w:val="32"/>
          <w:szCs w:val="32"/>
        </w:rPr>
      </w:pPr>
      <w:r w:rsidRPr="00526913">
        <w:rPr>
          <w:rFonts w:ascii="黑体" w:eastAsia="黑体" w:hAnsi="黑体" w:hint="eastAsia"/>
          <w:sz w:val="32"/>
          <w:szCs w:val="32"/>
        </w:rPr>
        <w:t>兴银基金固收周报（2017.12.</w:t>
      </w:r>
      <w:r w:rsidR="00F5503B">
        <w:rPr>
          <w:rFonts w:ascii="黑体" w:eastAsia="黑体" w:hAnsi="黑体" w:hint="eastAsia"/>
          <w:sz w:val="32"/>
          <w:szCs w:val="32"/>
        </w:rPr>
        <w:t>4</w:t>
      </w:r>
      <w:r w:rsidRPr="00526913">
        <w:rPr>
          <w:rFonts w:ascii="黑体" w:eastAsia="黑体" w:hAnsi="黑体" w:hint="eastAsia"/>
          <w:sz w:val="32"/>
          <w:szCs w:val="32"/>
        </w:rPr>
        <w:t>-2017.12.</w:t>
      </w:r>
      <w:r w:rsidR="00F5503B">
        <w:rPr>
          <w:rFonts w:ascii="黑体" w:eastAsia="黑体" w:hAnsi="黑体" w:hint="eastAsia"/>
          <w:sz w:val="32"/>
          <w:szCs w:val="32"/>
        </w:rPr>
        <w:t>8</w:t>
      </w:r>
      <w:r w:rsidRPr="00526913">
        <w:rPr>
          <w:rFonts w:ascii="黑体" w:eastAsia="黑体" w:hAnsi="黑体" w:hint="eastAsia"/>
          <w:sz w:val="32"/>
          <w:szCs w:val="32"/>
        </w:rPr>
        <w:t>）</w:t>
      </w:r>
    </w:p>
    <w:p w:rsidR="00526913" w:rsidRPr="002C17A7" w:rsidRDefault="00526913" w:rsidP="00526913">
      <w:pPr>
        <w:spacing w:line="360" w:lineRule="auto"/>
        <w:jc w:val="center"/>
        <w:rPr>
          <w:rFonts w:ascii="仿宋" w:eastAsia="仿宋" w:hAnsi="仿宋"/>
          <w:b/>
          <w:szCs w:val="21"/>
        </w:rPr>
      </w:pPr>
    </w:p>
    <w:p w:rsidR="00503B22" w:rsidRPr="00526913" w:rsidRDefault="00811D63" w:rsidP="002C17A7">
      <w:pPr>
        <w:spacing w:line="360" w:lineRule="auto"/>
        <w:rPr>
          <w:rFonts w:asciiTheme="minorEastAsia" w:hAnsiTheme="minorEastAsia"/>
          <w:b/>
          <w:szCs w:val="21"/>
        </w:rPr>
      </w:pPr>
      <w:r w:rsidRPr="00526913">
        <w:rPr>
          <w:rFonts w:asciiTheme="minorEastAsia" w:hAnsiTheme="minorEastAsia" w:hint="eastAsia"/>
          <w:b/>
          <w:szCs w:val="21"/>
        </w:rPr>
        <w:t>摘要：</w:t>
      </w:r>
      <w:r w:rsidR="00687FD1" w:rsidRPr="00526913">
        <w:rPr>
          <w:rFonts w:asciiTheme="minorEastAsia" w:hAnsiTheme="minorEastAsia" w:hint="eastAsia"/>
          <w:b/>
          <w:szCs w:val="21"/>
        </w:rPr>
        <w:t>宏观面：国际方面,</w:t>
      </w:r>
      <w:r w:rsidR="00687FD1" w:rsidRPr="00526913">
        <w:rPr>
          <w:rFonts w:asciiTheme="minorEastAsia" w:hAnsiTheme="minorEastAsia" w:hint="eastAsia"/>
          <w:b/>
          <w:bCs/>
          <w:szCs w:val="21"/>
        </w:rPr>
        <w:t xml:space="preserve"> 美联储今年内第三次加息、欧洲央行公布利率决议，维持三大利率不变、英国央行按兵不动</w:t>
      </w:r>
      <w:r w:rsidR="00687FD1" w:rsidRPr="00526913">
        <w:rPr>
          <w:rFonts w:asciiTheme="minorEastAsia" w:hAnsiTheme="minorEastAsia" w:hint="eastAsia"/>
          <w:b/>
          <w:szCs w:val="21"/>
        </w:rPr>
        <w:t>；国内方面，</w:t>
      </w:r>
      <w:r w:rsidR="00687FD1" w:rsidRPr="00526913">
        <w:rPr>
          <w:rFonts w:asciiTheme="minorEastAsia" w:hAnsiTheme="minorEastAsia" w:hint="eastAsia"/>
          <w:b/>
          <w:bCs/>
          <w:szCs w:val="21"/>
        </w:rPr>
        <w:t>央行上调逆回购与MLF利率5个基点、</w:t>
      </w:r>
      <w:r w:rsidR="00BD04E6" w:rsidRPr="00526913">
        <w:rPr>
          <w:rFonts w:asciiTheme="minorEastAsia" w:hAnsiTheme="minorEastAsia"/>
          <w:b/>
          <w:bCs/>
          <w:szCs w:val="21"/>
        </w:rPr>
        <w:t>商业银行流动性风险管理办法》（修订征求意见稿）发布</w:t>
      </w:r>
      <w:r w:rsidR="00BD04E6" w:rsidRPr="00526913">
        <w:rPr>
          <w:rFonts w:asciiTheme="minorEastAsia" w:hAnsiTheme="minorEastAsia" w:hint="eastAsia"/>
          <w:b/>
          <w:bCs/>
          <w:szCs w:val="21"/>
        </w:rPr>
        <w:t>、</w:t>
      </w:r>
      <w:r w:rsidR="00687FD1" w:rsidRPr="00526913">
        <w:rPr>
          <w:rFonts w:asciiTheme="minorEastAsia" w:hAnsiTheme="minorEastAsia" w:hint="eastAsia"/>
          <w:b/>
          <w:bCs/>
          <w:szCs w:val="21"/>
        </w:rPr>
        <w:t>中国成品油价迎“两连停”。</w:t>
      </w:r>
      <w:r w:rsidR="0049415A" w:rsidRPr="00526913">
        <w:rPr>
          <w:rFonts w:asciiTheme="minorEastAsia" w:hAnsiTheme="minorEastAsia" w:hint="eastAsia"/>
          <w:b/>
          <w:szCs w:val="21"/>
        </w:rPr>
        <w:t>本周资金面整体较为宽松，日间银行融出充裕，但伴随央行连续多日公开市场净回笼，银行日间隔夜融出逐步减少，下周资金面或将有所收紧。</w:t>
      </w:r>
      <w:r w:rsidR="0053515F" w:rsidRPr="00526913">
        <w:rPr>
          <w:rFonts w:asciiTheme="minorEastAsia" w:hAnsiTheme="minorEastAsia" w:hint="eastAsia"/>
          <w:b/>
          <w:szCs w:val="21"/>
        </w:rPr>
        <w:t>公司观点</w:t>
      </w:r>
      <w:r w:rsidRPr="00526913">
        <w:rPr>
          <w:rFonts w:asciiTheme="minorEastAsia" w:hAnsiTheme="minorEastAsia" w:hint="eastAsia"/>
          <w:b/>
          <w:szCs w:val="21"/>
        </w:rPr>
        <w:t>：</w:t>
      </w:r>
      <w:r w:rsidR="00CF01C3" w:rsidRPr="00526913">
        <w:rPr>
          <w:rFonts w:asciiTheme="minorEastAsia" w:hAnsiTheme="minorEastAsia" w:hint="eastAsia"/>
          <w:b/>
          <w:szCs w:val="21"/>
        </w:rPr>
        <w:t>继续</w:t>
      </w:r>
      <w:r w:rsidR="00503B22" w:rsidRPr="00526913">
        <w:rPr>
          <w:rFonts w:asciiTheme="minorEastAsia" w:hAnsiTheme="minorEastAsia" w:hint="eastAsia"/>
          <w:b/>
          <w:szCs w:val="21"/>
        </w:rPr>
        <w:t>建议</w:t>
      </w:r>
      <w:r w:rsidR="00C60343" w:rsidRPr="00526913">
        <w:rPr>
          <w:rFonts w:asciiTheme="minorEastAsia" w:hAnsiTheme="minorEastAsia" w:hint="eastAsia"/>
          <w:b/>
          <w:szCs w:val="21"/>
        </w:rPr>
        <w:t>中</w:t>
      </w:r>
      <w:r w:rsidR="00503B22" w:rsidRPr="00526913">
        <w:rPr>
          <w:rFonts w:asciiTheme="minorEastAsia" w:hAnsiTheme="minorEastAsia" w:hint="eastAsia"/>
          <w:b/>
          <w:szCs w:val="21"/>
        </w:rPr>
        <w:t>短</w:t>
      </w:r>
      <w:r w:rsidR="00503B22" w:rsidRPr="00526913">
        <w:rPr>
          <w:rFonts w:asciiTheme="minorEastAsia" w:hAnsiTheme="minorEastAsia"/>
          <w:b/>
          <w:szCs w:val="21"/>
        </w:rPr>
        <w:t>久期和</w:t>
      </w:r>
      <w:r w:rsidR="00E6262F" w:rsidRPr="00526913">
        <w:rPr>
          <w:rFonts w:asciiTheme="minorEastAsia" w:hAnsiTheme="minorEastAsia" w:hint="eastAsia"/>
          <w:b/>
          <w:szCs w:val="21"/>
        </w:rPr>
        <w:t>适中</w:t>
      </w:r>
      <w:r w:rsidR="00503B22" w:rsidRPr="00526913">
        <w:rPr>
          <w:rFonts w:asciiTheme="minorEastAsia" w:hAnsiTheme="minorEastAsia"/>
          <w:b/>
          <w:szCs w:val="21"/>
        </w:rPr>
        <w:t>杠杆水平</w:t>
      </w:r>
      <w:r w:rsidR="00C60343" w:rsidRPr="00526913">
        <w:rPr>
          <w:rFonts w:asciiTheme="minorEastAsia" w:hAnsiTheme="minorEastAsia" w:hint="eastAsia"/>
          <w:b/>
          <w:szCs w:val="21"/>
        </w:rPr>
        <w:t>。</w:t>
      </w:r>
    </w:p>
    <w:p w:rsidR="00276EC6" w:rsidRPr="00526913" w:rsidRDefault="00276EC6" w:rsidP="002C17A7">
      <w:pPr>
        <w:shd w:val="clear" w:color="auto" w:fill="FFFFFF"/>
        <w:spacing w:after="82" w:line="360" w:lineRule="auto"/>
        <w:outlineLvl w:val="1"/>
        <w:rPr>
          <w:rFonts w:asciiTheme="minorEastAsia" w:hAnsiTheme="minorEastAsia"/>
          <w:b/>
          <w:szCs w:val="21"/>
        </w:rPr>
      </w:pPr>
    </w:p>
    <w:p w:rsidR="00E7752A" w:rsidRPr="00526913" w:rsidRDefault="00E7752A" w:rsidP="002C17A7">
      <w:pPr>
        <w:shd w:val="clear" w:color="auto" w:fill="FFFFFF"/>
        <w:spacing w:after="82" w:line="360" w:lineRule="auto"/>
        <w:outlineLvl w:val="1"/>
        <w:rPr>
          <w:rFonts w:asciiTheme="minorEastAsia" w:hAnsiTheme="minorEastAsia"/>
          <w:b/>
          <w:szCs w:val="21"/>
        </w:rPr>
      </w:pPr>
      <w:r w:rsidRPr="00526913">
        <w:rPr>
          <w:rFonts w:asciiTheme="minorEastAsia" w:hAnsiTheme="minorEastAsia" w:hint="eastAsia"/>
          <w:b/>
          <w:szCs w:val="21"/>
        </w:rPr>
        <w:t>一、宏观面：国际方面</w:t>
      </w:r>
      <w:r w:rsidR="003D5E6F" w:rsidRPr="00526913">
        <w:rPr>
          <w:rFonts w:asciiTheme="minorEastAsia" w:hAnsiTheme="minorEastAsia" w:hint="eastAsia"/>
          <w:b/>
          <w:szCs w:val="21"/>
        </w:rPr>
        <w:t>,</w:t>
      </w:r>
      <w:r w:rsidR="00687FD1" w:rsidRPr="00526913">
        <w:rPr>
          <w:rFonts w:asciiTheme="minorEastAsia" w:hAnsiTheme="minorEastAsia" w:hint="eastAsia"/>
          <w:b/>
          <w:bCs/>
          <w:szCs w:val="21"/>
        </w:rPr>
        <w:t xml:space="preserve"> 美联储今年内第三次加息、欧洲央行公布利率决议，维持三大利率不变、英国央行按兵不动</w:t>
      </w:r>
      <w:r w:rsidRPr="00526913">
        <w:rPr>
          <w:rFonts w:asciiTheme="minorEastAsia" w:hAnsiTheme="minorEastAsia" w:hint="eastAsia"/>
          <w:b/>
          <w:szCs w:val="21"/>
        </w:rPr>
        <w:t>；国内方面</w:t>
      </w:r>
      <w:r w:rsidR="008B695F" w:rsidRPr="00526913">
        <w:rPr>
          <w:rFonts w:asciiTheme="minorEastAsia" w:hAnsiTheme="minorEastAsia" w:hint="eastAsia"/>
          <w:b/>
          <w:szCs w:val="21"/>
        </w:rPr>
        <w:t>，</w:t>
      </w:r>
      <w:r w:rsidR="00687FD1" w:rsidRPr="00526913">
        <w:rPr>
          <w:rFonts w:asciiTheme="minorEastAsia" w:hAnsiTheme="minorEastAsia" w:hint="eastAsia"/>
          <w:b/>
          <w:bCs/>
          <w:szCs w:val="21"/>
        </w:rPr>
        <w:t>央行上调逆回购与MLF利率5个基点、</w:t>
      </w:r>
      <w:r w:rsidR="00BD04E6" w:rsidRPr="00526913">
        <w:rPr>
          <w:rFonts w:asciiTheme="minorEastAsia" w:hAnsiTheme="minorEastAsia"/>
          <w:b/>
          <w:bCs/>
          <w:szCs w:val="21"/>
        </w:rPr>
        <w:t>商业银行流动性风险管理办法》（修订征求意见稿）发布</w:t>
      </w:r>
      <w:r w:rsidR="00BD04E6" w:rsidRPr="00526913">
        <w:rPr>
          <w:rFonts w:asciiTheme="minorEastAsia" w:hAnsiTheme="minorEastAsia" w:hint="eastAsia"/>
          <w:b/>
          <w:bCs/>
          <w:szCs w:val="21"/>
        </w:rPr>
        <w:t>、</w:t>
      </w:r>
      <w:r w:rsidR="00687FD1" w:rsidRPr="00526913">
        <w:rPr>
          <w:rFonts w:asciiTheme="minorEastAsia" w:hAnsiTheme="minorEastAsia" w:hint="eastAsia"/>
          <w:b/>
          <w:bCs/>
          <w:szCs w:val="21"/>
        </w:rPr>
        <w:t>中国成品油价迎“两连停”</w:t>
      </w:r>
      <w:r w:rsidR="00687FD1" w:rsidRPr="00526913">
        <w:rPr>
          <w:rFonts w:asciiTheme="minorEastAsia" w:hAnsiTheme="minorEastAsia"/>
          <w:b/>
          <w:szCs w:val="21"/>
        </w:rPr>
        <w:t xml:space="preserve"> </w:t>
      </w:r>
    </w:p>
    <w:p w:rsidR="00D33AB7" w:rsidRPr="00526913" w:rsidRDefault="00E7752A" w:rsidP="002C17A7">
      <w:pPr>
        <w:spacing w:line="360" w:lineRule="auto"/>
        <w:ind w:firstLine="412"/>
        <w:rPr>
          <w:rFonts w:asciiTheme="minorEastAsia" w:hAnsiTheme="minorEastAsia"/>
          <w:b/>
          <w:bCs/>
          <w:szCs w:val="21"/>
        </w:rPr>
      </w:pPr>
      <w:r w:rsidRPr="00526913">
        <w:rPr>
          <w:rFonts w:asciiTheme="minorEastAsia" w:hAnsiTheme="minorEastAsia" w:hint="eastAsia"/>
          <w:b/>
          <w:bCs/>
          <w:szCs w:val="21"/>
        </w:rPr>
        <w:t>国际方面，</w:t>
      </w:r>
      <w:r w:rsidR="00D33AB7" w:rsidRPr="00526913">
        <w:rPr>
          <w:rFonts w:asciiTheme="minorEastAsia" w:hAnsiTheme="minorEastAsia" w:hint="eastAsia"/>
          <w:b/>
          <w:bCs/>
          <w:szCs w:val="21"/>
        </w:rPr>
        <w:t>美联储今年内第三次加息</w:t>
      </w:r>
      <w:r w:rsidR="006E03B4" w:rsidRPr="00526913">
        <w:rPr>
          <w:rFonts w:asciiTheme="minorEastAsia" w:hAnsiTheme="minorEastAsia" w:hint="eastAsia"/>
          <w:b/>
          <w:bCs/>
          <w:szCs w:val="21"/>
        </w:rPr>
        <w:t>、欧洲央行公布利率决议，维持三大利率不变、英国央行按兵不动</w:t>
      </w:r>
    </w:p>
    <w:p w:rsidR="00D33AB7" w:rsidRPr="00526913" w:rsidRDefault="00D33AB7" w:rsidP="00D33AB7">
      <w:pPr>
        <w:spacing w:line="360" w:lineRule="auto"/>
        <w:ind w:firstLine="412"/>
        <w:rPr>
          <w:rFonts w:asciiTheme="minorEastAsia" w:hAnsiTheme="minorEastAsia"/>
          <w:szCs w:val="21"/>
        </w:rPr>
      </w:pPr>
      <w:r w:rsidRPr="00526913">
        <w:rPr>
          <w:rFonts w:asciiTheme="minorEastAsia" w:hAnsiTheme="minorEastAsia" w:hint="eastAsia"/>
          <w:szCs w:val="21"/>
        </w:rPr>
        <w:t>美联储当地时间13日宣布将联邦基金利率目标区间上调25个基点到1.25%至1.5%的水平，这是美联储今年以来第三次加息，符合市场普遍预期。投资者情绪谨慎乐观，纽约股市反应平稳，小幅震荡后以涨跌互现报收，其中道琼斯工业平均指数再创收盘新高。美联储主席耶伦在当天的新闻发布会上表示，美国经济增长将继续支持美联储渐进加息。这是耶伦作为美联储主席的最后一次新闻发布会。</w:t>
      </w:r>
    </w:p>
    <w:p w:rsidR="006E03B4" w:rsidRPr="00526913" w:rsidRDefault="006E03B4" w:rsidP="00D33AB7">
      <w:pPr>
        <w:spacing w:line="360" w:lineRule="auto"/>
        <w:ind w:firstLine="412"/>
        <w:rPr>
          <w:rFonts w:asciiTheme="minorEastAsia" w:hAnsiTheme="minorEastAsia"/>
          <w:szCs w:val="21"/>
        </w:rPr>
      </w:pPr>
      <w:r w:rsidRPr="00526913">
        <w:rPr>
          <w:rFonts w:asciiTheme="minorEastAsia" w:hAnsiTheme="minorEastAsia" w:hint="eastAsia"/>
          <w:szCs w:val="21"/>
        </w:rPr>
        <w:t>欧洲央行主要再融资利率、隔夜贷款利率、隔夜存款利率分别维持在0.0%、0.25%、-0.4%，符合市场预期。</w:t>
      </w:r>
    </w:p>
    <w:p w:rsidR="007F18E8" w:rsidRPr="00526913" w:rsidRDefault="00BC1E9D" w:rsidP="00D33AB7">
      <w:pPr>
        <w:spacing w:line="360" w:lineRule="auto"/>
        <w:ind w:firstLine="412"/>
        <w:rPr>
          <w:rFonts w:asciiTheme="minorEastAsia" w:hAnsiTheme="minorEastAsia"/>
          <w:szCs w:val="21"/>
        </w:rPr>
      </w:pPr>
      <w:r w:rsidRPr="00526913">
        <w:rPr>
          <w:rFonts w:asciiTheme="minorEastAsia" w:hAnsiTheme="minorEastAsia" w:hint="eastAsia"/>
          <w:szCs w:val="21"/>
        </w:rPr>
        <w:t>14日</w:t>
      </w:r>
      <w:r w:rsidR="006E03B4" w:rsidRPr="00526913">
        <w:rPr>
          <w:rFonts w:asciiTheme="minorEastAsia" w:hAnsiTheme="minorEastAsia" w:hint="eastAsia"/>
          <w:szCs w:val="21"/>
        </w:rPr>
        <w:t>，英国央行公布利率决议。货币政策委员会（MPC）以9-0的投票比例维持基准利率0.5%不变，以9-0维持国债购买规模4350亿英镑不变，以9-0维持企业债购买规模100亿英镑不变，均符合预期。英国央行称，如果英国经济发展符合11月预期，那么未来几年可进行进一步的温和加息。未来任何加息预计都将维持渐进、有限的幅度。</w:t>
      </w:r>
      <w:r w:rsidR="00794A44" w:rsidRPr="00526913">
        <w:rPr>
          <w:rFonts w:asciiTheme="minorEastAsia" w:hAnsiTheme="minorEastAsia" w:hint="eastAsia"/>
          <w:szCs w:val="21"/>
        </w:rPr>
        <w:br/>
      </w:r>
      <w:r w:rsidR="00794A44" w:rsidRPr="00526913">
        <w:rPr>
          <w:rFonts w:asciiTheme="minorEastAsia" w:hAnsiTheme="minorEastAsia" w:hint="eastAsia"/>
          <w:b/>
          <w:szCs w:val="21"/>
        </w:rPr>
        <w:tab/>
      </w:r>
      <w:r w:rsidR="00E7752A" w:rsidRPr="00526913">
        <w:rPr>
          <w:rFonts w:asciiTheme="minorEastAsia" w:hAnsiTheme="minorEastAsia" w:hint="eastAsia"/>
          <w:b/>
          <w:szCs w:val="21"/>
        </w:rPr>
        <w:t>国内方面，</w:t>
      </w:r>
      <w:r w:rsidR="00735EE9" w:rsidRPr="00526913">
        <w:rPr>
          <w:rFonts w:asciiTheme="minorEastAsia" w:hAnsiTheme="minorEastAsia" w:hint="eastAsia"/>
          <w:b/>
          <w:bCs/>
          <w:szCs w:val="21"/>
        </w:rPr>
        <w:t>央行上调逆回购与MLF利率5个基点</w:t>
      </w:r>
      <w:r w:rsidR="00D33AB7" w:rsidRPr="00526913">
        <w:rPr>
          <w:rFonts w:asciiTheme="minorEastAsia" w:hAnsiTheme="minorEastAsia" w:hint="eastAsia"/>
          <w:b/>
          <w:bCs/>
          <w:szCs w:val="21"/>
        </w:rPr>
        <w:t>、</w:t>
      </w:r>
      <w:r w:rsidR="001B201F" w:rsidRPr="00526913">
        <w:rPr>
          <w:rFonts w:asciiTheme="minorEastAsia" w:hAnsiTheme="minorEastAsia"/>
          <w:b/>
          <w:bCs/>
          <w:szCs w:val="21"/>
        </w:rPr>
        <w:t>《商业银行流动性风险管理办法》（修订征求意见稿）发布</w:t>
      </w:r>
      <w:r w:rsidR="001B201F" w:rsidRPr="00526913">
        <w:rPr>
          <w:rFonts w:asciiTheme="minorEastAsia" w:hAnsiTheme="minorEastAsia" w:hint="eastAsia"/>
          <w:b/>
          <w:bCs/>
          <w:szCs w:val="21"/>
        </w:rPr>
        <w:t>、</w:t>
      </w:r>
      <w:r w:rsidR="00D33AB7" w:rsidRPr="00526913">
        <w:rPr>
          <w:rFonts w:asciiTheme="minorEastAsia" w:hAnsiTheme="minorEastAsia" w:hint="eastAsia"/>
          <w:b/>
          <w:bCs/>
          <w:szCs w:val="21"/>
        </w:rPr>
        <w:t>中国成品油价迎“两连停”</w:t>
      </w:r>
    </w:p>
    <w:p w:rsidR="00735EE9" w:rsidRPr="00526913" w:rsidRDefault="00794A44" w:rsidP="002C17A7">
      <w:pPr>
        <w:spacing w:line="360" w:lineRule="auto"/>
        <w:rPr>
          <w:rFonts w:asciiTheme="minorEastAsia" w:hAnsiTheme="minorEastAsia"/>
          <w:bCs/>
          <w:szCs w:val="21"/>
        </w:rPr>
      </w:pPr>
      <w:r w:rsidRPr="00526913">
        <w:rPr>
          <w:rFonts w:asciiTheme="minorEastAsia" w:hAnsiTheme="minorEastAsia" w:hint="eastAsia"/>
          <w:bCs/>
          <w:szCs w:val="21"/>
        </w:rPr>
        <w:tab/>
      </w:r>
      <w:r w:rsidR="00735EE9" w:rsidRPr="00526913">
        <w:rPr>
          <w:rFonts w:asciiTheme="minorEastAsia" w:hAnsiTheme="minorEastAsia" w:hint="eastAsia"/>
          <w:bCs/>
          <w:szCs w:val="21"/>
        </w:rPr>
        <w:t>12月14日，央行开展300亿元7天、200亿元28天逆回购，净回笼1900亿元，同时对7天和28天的逆回购利率分别上调5BP至2.5%和2.8%。此外，央行开展2880亿元1年</w:t>
      </w:r>
      <w:r w:rsidR="00735EE9" w:rsidRPr="00526913">
        <w:rPr>
          <w:rFonts w:asciiTheme="minorEastAsia" w:hAnsiTheme="minorEastAsia" w:hint="eastAsia"/>
          <w:bCs/>
          <w:szCs w:val="21"/>
        </w:rPr>
        <w:lastRenderedPageBreak/>
        <w:t>期MLF操作并提高操作利率5BP至3.25%，为本月第二次续作，本周六有1870亿元1年期MLF到期，通过MLF续作向市场净投放1010亿元中长期资金。当日共实现流动性净投放980亿元，维持银行体系流动性总量中性适度；同时提高MLF操作利率，引导市场长端利率。</w:t>
      </w:r>
    </w:p>
    <w:p w:rsidR="00D33AB7" w:rsidRPr="00526913" w:rsidRDefault="00D33AB7" w:rsidP="00D33AB7">
      <w:pPr>
        <w:spacing w:line="360" w:lineRule="auto"/>
        <w:ind w:firstLine="420"/>
        <w:rPr>
          <w:rFonts w:asciiTheme="minorEastAsia" w:hAnsiTheme="minorEastAsia"/>
          <w:bCs/>
          <w:szCs w:val="21"/>
        </w:rPr>
      </w:pPr>
      <w:r w:rsidRPr="00526913">
        <w:rPr>
          <w:rFonts w:asciiTheme="minorEastAsia" w:hAnsiTheme="minorEastAsia" w:hint="eastAsia"/>
          <w:bCs/>
          <w:szCs w:val="21"/>
        </w:rPr>
        <w:t>对于逆回购和</w:t>
      </w:r>
      <w:r w:rsidRPr="00526913">
        <w:rPr>
          <w:rFonts w:asciiTheme="minorEastAsia" w:hAnsiTheme="minorEastAsia"/>
          <w:bCs/>
          <w:szCs w:val="21"/>
        </w:rPr>
        <w:t>MLF</w:t>
      </w:r>
      <w:r w:rsidRPr="00526913">
        <w:rPr>
          <w:rFonts w:asciiTheme="minorEastAsia" w:hAnsiTheme="minorEastAsia" w:hint="eastAsia"/>
          <w:bCs/>
          <w:szCs w:val="21"/>
        </w:rPr>
        <w:t>操作利率小幅上行5个基点，央行公开市场业务操作室负责人认为，有助于修复市场扭曲，理顺货币政策传导机制。公开市场操作利率是通过</w:t>
      </w:r>
      <w:r w:rsidRPr="00526913">
        <w:rPr>
          <w:rFonts w:asciiTheme="minorEastAsia" w:hAnsiTheme="minorEastAsia"/>
          <w:bCs/>
          <w:szCs w:val="21"/>
        </w:rPr>
        <w:t>央行</w:t>
      </w:r>
      <w:r w:rsidRPr="00526913">
        <w:rPr>
          <w:rFonts w:asciiTheme="minorEastAsia" w:hAnsiTheme="minorEastAsia" w:hint="eastAsia"/>
          <w:bCs/>
          <w:szCs w:val="21"/>
        </w:rPr>
        <w:t>招标、交易对手投标产生的，本身就是市场化的利率。岁末年初银行体系流动性需求较强，公开市场操作投标倍数较高，利率随行就市上行是反映市场供求的结果，同时也是市场对美联储刚刚加息的正常反应。</w:t>
      </w:r>
    </w:p>
    <w:p w:rsidR="001B201F" w:rsidRPr="00526913" w:rsidRDefault="001B201F" w:rsidP="00D33AB7">
      <w:pPr>
        <w:spacing w:line="360" w:lineRule="auto"/>
        <w:ind w:firstLine="420"/>
        <w:rPr>
          <w:rFonts w:asciiTheme="minorEastAsia" w:hAnsiTheme="minorEastAsia"/>
          <w:bCs/>
          <w:szCs w:val="21"/>
        </w:rPr>
      </w:pPr>
      <w:r w:rsidRPr="00526913">
        <w:rPr>
          <w:rFonts w:asciiTheme="minorEastAsia" w:hAnsiTheme="minorEastAsia"/>
          <w:bCs/>
          <w:szCs w:val="21"/>
        </w:rPr>
        <w:t>《商业银行流动性风险管理办法》（修订征求意见稿）发布，金融监管措施将逐步落地。新规中新增三个流动性监管指标</w:t>
      </w:r>
      <w:r w:rsidRPr="00526913">
        <w:rPr>
          <w:rFonts w:asciiTheme="minorEastAsia" w:hAnsiTheme="minorEastAsia" w:hint="eastAsia"/>
          <w:bCs/>
          <w:szCs w:val="21"/>
        </w:rPr>
        <w:t>：</w:t>
      </w:r>
      <w:r w:rsidRPr="00526913">
        <w:rPr>
          <w:rFonts w:asciiTheme="minorEastAsia" w:hAnsiTheme="minorEastAsia"/>
          <w:bCs/>
          <w:szCs w:val="21"/>
        </w:rPr>
        <w:t>净稳定资金比例、优质流动性资产充足率、流动性匹配率；同时在三处新增了对同业投融资业务规范性的表述。另外新规适用的机构范围也有所扩大将政策性银行及国开行一并纳入。流动性新规将会提高同业负债和投资成本，同业空转受到抑 制，业务面临萎缩。负债端持续的资金短缺和委外回表等行为带来的交易性摩擦会在一定时间内抑制债市的表现。</w:t>
      </w:r>
    </w:p>
    <w:p w:rsidR="00D33AB7" w:rsidRPr="00526913" w:rsidRDefault="00D33AB7" w:rsidP="00D33AB7">
      <w:pPr>
        <w:spacing w:line="360" w:lineRule="auto"/>
        <w:ind w:firstLine="420"/>
        <w:rPr>
          <w:rFonts w:asciiTheme="minorEastAsia" w:hAnsiTheme="minorEastAsia"/>
          <w:bCs/>
          <w:szCs w:val="21"/>
        </w:rPr>
      </w:pPr>
      <w:r w:rsidRPr="00526913">
        <w:rPr>
          <w:rFonts w:asciiTheme="minorEastAsia" w:hAnsiTheme="minorEastAsia" w:hint="eastAsia"/>
          <w:bCs/>
          <w:szCs w:val="21"/>
        </w:rPr>
        <w:t>12月14日，中国国家发改委发布通知表示，中国国内汽、柴油价格不作调整。这是继上轮调价搁浅之后，油价迎来“两连停”，这也是2017年中国国内成品油调价第8次搁浅。</w:t>
      </w:r>
    </w:p>
    <w:p w:rsidR="00343A0C" w:rsidRPr="00526913" w:rsidRDefault="00343A0C" w:rsidP="002C17A7">
      <w:pPr>
        <w:spacing w:line="360" w:lineRule="auto"/>
        <w:rPr>
          <w:rFonts w:asciiTheme="minorEastAsia" w:hAnsiTheme="minorEastAsia"/>
          <w:b/>
          <w:szCs w:val="21"/>
        </w:rPr>
      </w:pPr>
    </w:p>
    <w:p w:rsidR="00276EC6" w:rsidRPr="00526913" w:rsidRDefault="00276EC6" w:rsidP="002C17A7">
      <w:pPr>
        <w:spacing w:line="360" w:lineRule="auto"/>
        <w:rPr>
          <w:rFonts w:asciiTheme="minorEastAsia" w:hAnsiTheme="minorEastAsia"/>
          <w:b/>
          <w:szCs w:val="21"/>
        </w:rPr>
      </w:pPr>
      <w:r w:rsidRPr="00526913">
        <w:rPr>
          <w:rFonts w:asciiTheme="minorEastAsia" w:hAnsiTheme="minorEastAsia" w:hint="eastAsia"/>
          <w:b/>
          <w:szCs w:val="21"/>
        </w:rPr>
        <w:t>二、资金面：</w:t>
      </w:r>
      <w:r w:rsidR="002C17A7" w:rsidRPr="00526913">
        <w:rPr>
          <w:rFonts w:asciiTheme="minorEastAsia" w:hAnsiTheme="minorEastAsia" w:hint="eastAsia"/>
          <w:b/>
          <w:szCs w:val="21"/>
        </w:rPr>
        <w:t>本周资金面整体较为宽松，日间银行融出充裕，但伴随央行连续多日公开市场净回笼，银行日间隔夜融出逐步减少，下周资金面或将有所收紧</w:t>
      </w:r>
    </w:p>
    <w:p w:rsidR="002C17A7" w:rsidRPr="00526913" w:rsidRDefault="002C17A7" w:rsidP="002C17A7">
      <w:pPr>
        <w:spacing w:line="360" w:lineRule="auto"/>
        <w:ind w:firstLineChars="196" w:firstLine="413"/>
        <w:rPr>
          <w:rFonts w:asciiTheme="minorEastAsia" w:hAnsiTheme="minorEastAsia"/>
          <w:szCs w:val="21"/>
        </w:rPr>
      </w:pPr>
      <w:r w:rsidRPr="00526913">
        <w:rPr>
          <w:rFonts w:asciiTheme="minorEastAsia" w:hAnsiTheme="minorEastAsia" w:hint="eastAsia"/>
          <w:b/>
          <w:szCs w:val="21"/>
        </w:rPr>
        <w:t>回购：</w:t>
      </w:r>
      <w:r w:rsidRPr="00526913">
        <w:rPr>
          <w:rFonts w:asciiTheme="minorEastAsia" w:hAnsiTheme="minorEastAsia" w:hint="eastAsia"/>
          <w:szCs w:val="21"/>
        </w:rPr>
        <w:t>本周央行公开市场净回笼5100亿元，公开市场操作利率无变动，MLF等量续做。截止8日，银行间回购跨月品种收益率上行幅度较大，其余期限回购利率变动不大，隔夜品种收益率微涨至2.65，成家量维持在21300亿元左右，交易所GC001单周加权利率继续下行至3.14，日均成交量维持在8000亿元左右。公开市场操作存量（MLF+回购）有所下行，银行间融资余额变动不大。本周资金面整体较为宽松，日间银行融出充裕，但伴随央行连续多日公开市场净回笼，银行日间隔夜融出逐步减少，下周资金面或将有所收紧。</w:t>
      </w:r>
    </w:p>
    <w:p w:rsidR="00526913" w:rsidRDefault="00526913" w:rsidP="002C17A7">
      <w:pPr>
        <w:spacing w:line="360" w:lineRule="auto"/>
        <w:rPr>
          <w:rFonts w:asciiTheme="minorEastAsia" w:hAnsiTheme="minorEastAsia"/>
          <w:szCs w:val="21"/>
        </w:rPr>
      </w:pPr>
    </w:p>
    <w:p w:rsidR="00526913" w:rsidRDefault="00526913" w:rsidP="002C17A7">
      <w:pPr>
        <w:spacing w:line="360" w:lineRule="auto"/>
        <w:rPr>
          <w:rFonts w:asciiTheme="minorEastAsia" w:hAnsiTheme="minorEastAsia"/>
          <w:szCs w:val="21"/>
        </w:rPr>
      </w:pPr>
    </w:p>
    <w:p w:rsidR="00526913" w:rsidRDefault="00526913" w:rsidP="002C17A7">
      <w:pPr>
        <w:spacing w:line="360" w:lineRule="auto"/>
        <w:rPr>
          <w:rFonts w:asciiTheme="minorEastAsia" w:hAnsiTheme="minorEastAsia"/>
          <w:szCs w:val="21"/>
        </w:rPr>
      </w:pPr>
    </w:p>
    <w:p w:rsidR="00526913" w:rsidRDefault="00526913" w:rsidP="002C17A7">
      <w:pPr>
        <w:spacing w:line="360" w:lineRule="auto"/>
        <w:rPr>
          <w:rFonts w:asciiTheme="minorEastAsia" w:hAnsiTheme="minorEastAsia"/>
          <w:szCs w:val="21"/>
        </w:rPr>
      </w:pPr>
    </w:p>
    <w:p w:rsidR="00526913" w:rsidRDefault="00526913" w:rsidP="002C17A7">
      <w:pPr>
        <w:spacing w:line="360" w:lineRule="auto"/>
        <w:rPr>
          <w:rFonts w:asciiTheme="minorEastAsia" w:hAnsiTheme="minorEastAsia"/>
          <w:szCs w:val="21"/>
        </w:rPr>
      </w:pPr>
    </w:p>
    <w:p w:rsidR="002C17A7" w:rsidRPr="00526913" w:rsidRDefault="002C17A7" w:rsidP="002C17A7">
      <w:pPr>
        <w:spacing w:line="360" w:lineRule="auto"/>
        <w:rPr>
          <w:rFonts w:asciiTheme="minorEastAsia" w:hAnsiTheme="minorEastAsia"/>
          <w:szCs w:val="21"/>
        </w:rPr>
      </w:pPr>
      <w:r w:rsidRPr="00526913">
        <w:rPr>
          <w:rFonts w:asciiTheme="minorEastAsia" w:hAnsiTheme="minorEastAsia" w:hint="eastAsia"/>
          <w:szCs w:val="21"/>
        </w:rPr>
        <w:lastRenderedPageBreak/>
        <w:t>央行公开市场操作情况</w:t>
      </w:r>
    </w:p>
    <w:p w:rsidR="002C17A7" w:rsidRPr="002C17A7" w:rsidRDefault="002C17A7" w:rsidP="00526913">
      <w:pPr>
        <w:spacing w:line="360" w:lineRule="auto"/>
        <w:jc w:val="center"/>
        <w:rPr>
          <w:rFonts w:ascii="仿宋" w:eastAsia="仿宋" w:hAnsi="仿宋"/>
          <w:b/>
          <w:szCs w:val="21"/>
        </w:rPr>
      </w:pPr>
      <w:r w:rsidRPr="002C17A7">
        <w:rPr>
          <w:rFonts w:ascii="仿宋" w:eastAsia="仿宋" w:hAnsi="仿宋"/>
          <w:b/>
          <w:noProof/>
          <w:szCs w:val="21"/>
        </w:rPr>
        <w:drawing>
          <wp:inline distT="0" distB="0" distL="0" distR="0">
            <wp:extent cx="5274310" cy="2020841"/>
            <wp:effectExtent l="1905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74310" cy="2020841"/>
                    </a:xfrm>
                    <a:prstGeom prst="rect">
                      <a:avLst/>
                    </a:prstGeom>
                    <a:noFill/>
                    <a:ln w="9525">
                      <a:noFill/>
                      <a:miter lim="800000"/>
                      <a:headEnd/>
                      <a:tailEnd/>
                    </a:ln>
                  </pic:spPr>
                </pic:pic>
              </a:graphicData>
            </a:graphic>
          </wp:inline>
        </w:drawing>
      </w:r>
    </w:p>
    <w:p w:rsidR="00526913" w:rsidRDefault="00526913" w:rsidP="00D764B2">
      <w:pPr>
        <w:spacing w:line="360" w:lineRule="auto"/>
        <w:ind w:firstLineChars="196" w:firstLine="412"/>
        <w:rPr>
          <w:rFonts w:ascii="仿宋" w:eastAsia="仿宋" w:hAnsi="仿宋"/>
          <w:szCs w:val="21"/>
        </w:rPr>
      </w:pPr>
    </w:p>
    <w:p w:rsidR="002C17A7" w:rsidRPr="00526913" w:rsidRDefault="002C17A7" w:rsidP="00526913">
      <w:pPr>
        <w:spacing w:line="360" w:lineRule="auto"/>
        <w:rPr>
          <w:rFonts w:asciiTheme="minorEastAsia" w:hAnsiTheme="minorEastAsia"/>
          <w:szCs w:val="21"/>
        </w:rPr>
      </w:pPr>
      <w:r w:rsidRPr="00526913">
        <w:rPr>
          <w:rFonts w:asciiTheme="minorEastAsia" w:hAnsiTheme="minorEastAsia" w:hint="eastAsia"/>
          <w:szCs w:val="21"/>
        </w:rPr>
        <w:t>近期银行间回购主要品种收益率较上周变动</w:t>
      </w:r>
    </w:p>
    <w:p w:rsidR="002C17A7" w:rsidRPr="002C17A7" w:rsidRDefault="002C17A7" w:rsidP="00526913">
      <w:pPr>
        <w:spacing w:line="360" w:lineRule="auto"/>
        <w:jc w:val="center"/>
        <w:rPr>
          <w:rFonts w:ascii="仿宋" w:eastAsia="仿宋" w:hAnsi="仿宋"/>
          <w:b/>
          <w:szCs w:val="21"/>
        </w:rPr>
      </w:pPr>
      <w:r w:rsidRPr="002C17A7">
        <w:rPr>
          <w:rFonts w:ascii="仿宋" w:eastAsia="仿宋" w:hAnsi="仿宋"/>
          <w:b/>
          <w:noProof/>
          <w:szCs w:val="21"/>
        </w:rPr>
        <w:drawing>
          <wp:inline distT="0" distB="0" distL="0" distR="0">
            <wp:extent cx="4248150" cy="1733550"/>
            <wp:effectExtent l="1905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248150" cy="1733550"/>
                    </a:xfrm>
                    <a:prstGeom prst="rect">
                      <a:avLst/>
                    </a:prstGeom>
                    <a:noFill/>
                    <a:ln w="9525">
                      <a:noFill/>
                      <a:miter lim="800000"/>
                      <a:headEnd/>
                      <a:tailEnd/>
                    </a:ln>
                  </pic:spPr>
                </pic:pic>
              </a:graphicData>
            </a:graphic>
          </wp:inline>
        </w:drawing>
      </w:r>
    </w:p>
    <w:p w:rsidR="002C17A7" w:rsidRPr="002C17A7" w:rsidRDefault="002C17A7" w:rsidP="00526913">
      <w:pPr>
        <w:spacing w:line="360" w:lineRule="auto"/>
        <w:jc w:val="center"/>
        <w:rPr>
          <w:rFonts w:ascii="仿宋" w:eastAsia="仿宋" w:hAnsi="仿宋"/>
          <w:b/>
          <w:szCs w:val="21"/>
        </w:rPr>
      </w:pPr>
      <w:r w:rsidRPr="002C17A7">
        <w:rPr>
          <w:rFonts w:ascii="仿宋" w:eastAsia="仿宋" w:hAnsi="仿宋"/>
          <w:b/>
          <w:noProof/>
          <w:szCs w:val="21"/>
        </w:rPr>
        <w:drawing>
          <wp:inline distT="0" distB="0" distL="0" distR="0">
            <wp:extent cx="5274310" cy="1896440"/>
            <wp:effectExtent l="19050" t="0" r="2540"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274310" cy="1896440"/>
                    </a:xfrm>
                    <a:prstGeom prst="rect">
                      <a:avLst/>
                    </a:prstGeom>
                    <a:noFill/>
                    <a:ln w="9525">
                      <a:noFill/>
                      <a:miter lim="800000"/>
                      <a:headEnd/>
                      <a:tailEnd/>
                    </a:ln>
                  </pic:spPr>
                </pic:pic>
              </a:graphicData>
            </a:graphic>
          </wp:inline>
        </w:drawing>
      </w:r>
    </w:p>
    <w:p w:rsidR="00526913" w:rsidRDefault="00526913" w:rsidP="00526913">
      <w:pPr>
        <w:spacing w:line="360" w:lineRule="auto"/>
        <w:rPr>
          <w:rFonts w:asciiTheme="minorEastAsia" w:hAnsiTheme="minorEastAsia"/>
          <w:szCs w:val="21"/>
        </w:rPr>
      </w:pPr>
    </w:p>
    <w:p w:rsidR="00526913" w:rsidRDefault="00526913" w:rsidP="00526913">
      <w:pPr>
        <w:spacing w:line="360" w:lineRule="auto"/>
        <w:rPr>
          <w:rFonts w:asciiTheme="minorEastAsia" w:hAnsiTheme="minorEastAsia"/>
          <w:szCs w:val="21"/>
        </w:rPr>
      </w:pPr>
    </w:p>
    <w:p w:rsidR="00526913" w:rsidRDefault="00526913" w:rsidP="00526913">
      <w:pPr>
        <w:spacing w:line="360" w:lineRule="auto"/>
        <w:rPr>
          <w:rFonts w:asciiTheme="minorEastAsia" w:hAnsiTheme="minorEastAsia"/>
          <w:szCs w:val="21"/>
        </w:rPr>
      </w:pPr>
    </w:p>
    <w:p w:rsidR="00526913" w:rsidRDefault="00526913" w:rsidP="00526913">
      <w:pPr>
        <w:spacing w:line="360" w:lineRule="auto"/>
        <w:rPr>
          <w:rFonts w:asciiTheme="minorEastAsia" w:hAnsiTheme="minorEastAsia"/>
          <w:szCs w:val="21"/>
        </w:rPr>
      </w:pPr>
    </w:p>
    <w:p w:rsidR="00526913" w:rsidRDefault="00526913" w:rsidP="00526913">
      <w:pPr>
        <w:spacing w:line="360" w:lineRule="auto"/>
        <w:rPr>
          <w:rFonts w:asciiTheme="minorEastAsia" w:hAnsiTheme="minorEastAsia"/>
          <w:szCs w:val="21"/>
        </w:rPr>
      </w:pPr>
    </w:p>
    <w:p w:rsidR="00526913" w:rsidRDefault="00526913" w:rsidP="00526913">
      <w:pPr>
        <w:spacing w:line="360" w:lineRule="auto"/>
        <w:rPr>
          <w:rFonts w:asciiTheme="minorEastAsia" w:hAnsiTheme="minorEastAsia"/>
          <w:szCs w:val="21"/>
        </w:rPr>
      </w:pPr>
    </w:p>
    <w:p w:rsidR="00526913" w:rsidRDefault="00526913" w:rsidP="00526913">
      <w:pPr>
        <w:spacing w:line="360" w:lineRule="auto"/>
        <w:rPr>
          <w:rFonts w:asciiTheme="minorEastAsia" w:hAnsiTheme="minorEastAsia"/>
          <w:szCs w:val="21"/>
        </w:rPr>
      </w:pPr>
    </w:p>
    <w:p w:rsidR="002C17A7" w:rsidRPr="00526913" w:rsidRDefault="002C17A7" w:rsidP="00526913">
      <w:pPr>
        <w:spacing w:line="360" w:lineRule="auto"/>
        <w:rPr>
          <w:rFonts w:asciiTheme="minorEastAsia" w:hAnsiTheme="minorEastAsia"/>
          <w:szCs w:val="21"/>
        </w:rPr>
      </w:pPr>
      <w:r w:rsidRPr="00526913">
        <w:rPr>
          <w:rFonts w:asciiTheme="minorEastAsia" w:hAnsiTheme="minorEastAsia" w:hint="eastAsia"/>
          <w:szCs w:val="21"/>
        </w:rPr>
        <w:lastRenderedPageBreak/>
        <w:t>交易所隔夜品种（GC001）利率变动情况</w:t>
      </w:r>
    </w:p>
    <w:p w:rsidR="002C17A7" w:rsidRPr="002C17A7" w:rsidRDefault="002C17A7" w:rsidP="00526913">
      <w:pPr>
        <w:spacing w:line="360" w:lineRule="auto"/>
        <w:jc w:val="center"/>
        <w:rPr>
          <w:rFonts w:ascii="仿宋" w:eastAsia="仿宋" w:hAnsi="仿宋"/>
          <w:b/>
          <w:szCs w:val="21"/>
        </w:rPr>
      </w:pPr>
      <w:r w:rsidRPr="002C17A7">
        <w:rPr>
          <w:rFonts w:ascii="仿宋" w:eastAsia="仿宋" w:hAnsi="仿宋"/>
          <w:b/>
          <w:noProof/>
          <w:szCs w:val="21"/>
        </w:rPr>
        <w:drawing>
          <wp:inline distT="0" distB="0" distL="0" distR="0">
            <wp:extent cx="5274310" cy="2053548"/>
            <wp:effectExtent l="19050" t="0" r="254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274310" cy="2053548"/>
                    </a:xfrm>
                    <a:prstGeom prst="rect">
                      <a:avLst/>
                    </a:prstGeom>
                    <a:noFill/>
                    <a:ln w="9525">
                      <a:noFill/>
                      <a:miter lim="800000"/>
                      <a:headEnd/>
                      <a:tailEnd/>
                    </a:ln>
                  </pic:spPr>
                </pic:pic>
              </a:graphicData>
            </a:graphic>
          </wp:inline>
        </w:drawing>
      </w:r>
    </w:p>
    <w:p w:rsidR="002C17A7" w:rsidRPr="00526913" w:rsidRDefault="002C17A7" w:rsidP="00D764B2">
      <w:pPr>
        <w:spacing w:line="360" w:lineRule="auto"/>
        <w:rPr>
          <w:rFonts w:asciiTheme="minorEastAsia" w:hAnsiTheme="minorEastAsia"/>
          <w:szCs w:val="21"/>
        </w:rPr>
      </w:pPr>
      <w:r w:rsidRPr="00526913">
        <w:rPr>
          <w:rFonts w:asciiTheme="minorEastAsia" w:hAnsiTheme="minorEastAsia" w:hint="eastAsia"/>
          <w:szCs w:val="21"/>
        </w:rPr>
        <w:t>备注：上图表示GC001每周加权利率的变动情况</w:t>
      </w:r>
    </w:p>
    <w:p w:rsidR="00526913" w:rsidRDefault="00526913" w:rsidP="002C17A7">
      <w:pPr>
        <w:spacing w:line="360" w:lineRule="auto"/>
        <w:ind w:firstLineChars="196" w:firstLine="413"/>
        <w:rPr>
          <w:rFonts w:ascii="仿宋" w:eastAsia="仿宋" w:hAnsi="仿宋"/>
          <w:b/>
          <w:szCs w:val="21"/>
        </w:rPr>
      </w:pPr>
    </w:p>
    <w:p w:rsidR="002C17A7" w:rsidRPr="00526913" w:rsidRDefault="002C17A7" w:rsidP="002C17A7">
      <w:pPr>
        <w:spacing w:line="360" w:lineRule="auto"/>
        <w:ind w:firstLineChars="196" w:firstLine="413"/>
        <w:rPr>
          <w:rFonts w:asciiTheme="minorEastAsia" w:hAnsiTheme="minorEastAsia"/>
          <w:szCs w:val="21"/>
        </w:rPr>
      </w:pPr>
      <w:r w:rsidRPr="00526913">
        <w:rPr>
          <w:rFonts w:asciiTheme="minorEastAsia" w:hAnsiTheme="minorEastAsia" w:hint="eastAsia"/>
          <w:b/>
          <w:szCs w:val="21"/>
        </w:rPr>
        <w:t>同业存款：</w:t>
      </w:r>
      <w:r w:rsidRPr="00526913">
        <w:rPr>
          <w:rFonts w:asciiTheme="minorEastAsia" w:hAnsiTheme="minorEastAsia" w:hint="eastAsia"/>
          <w:szCs w:val="21"/>
        </w:rPr>
        <w:t>本周同业存单发行量快速升至近6900亿元，发行主要集中在6个月内品种，其中股份制银行1个月存单价格抬升至4.75-4.78,部分银行3个月及6个月存单价格价格抬升至5.0。同业存款方面，1个月以上存款价格继续抬升。</w:t>
      </w:r>
    </w:p>
    <w:p w:rsidR="00526913" w:rsidRDefault="00526913" w:rsidP="002C17A7">
      <w:pPr>
        <w:spacing w:line="360" w:lineRule="auto"/>
        <w:rPr>
          <w:rFonts w:asciiTheme="minorEastAsia" w:hAnsiTheme="minorEastAsia"/>
          <w:szCs w:val="21"/>
        </w:rPr>
      </w:pPr>
    </w:p>
    <w:p w:rsidR="002C17A7" w:rsidRPr="00526913" w:rsidRDefault="002C17A7" w:rsidP="002C17A7">
      <w:pPr>
        <w:spacing w:line="360" w:lineRule="auto"/>
        <w:rPr>
          <w:rFonts w:asciiTheme="minorEastAsia" w:hAnsiTheme="minorEastAsia"/>
          <w:szCs w:val="21"/>
        </w:rPr>
      </w:pPr>
      <w:r w:rsidRPr="00526913">
        <w:rPr>
          <w:rFonts w:asciiTheme="minorEastAsia" w:hAnsiTheme="minorEastAsia" w:hint="eastAsia"/>
          <w:szCs w:val="21"/>
        </w:rPr>
        <w:t>同业价格分布</w:t>
      </w:r>
    </w:p>
    <w:p w:rsidR="002C17A7" w:rsidRPr="002C17A7" w:rsidRDefault="002C17A7" w:rsidP="00526913">
      <w:pPr>
        <w:spacing w:line="360" w:lineRule="auto"/>
        <w:jc w:val="center"/>
        <w:rPr>
          <w:rFonts w:ascii="仿宋" w:eastAsia="仿宋" w:hAnsi="仿宋"/>
          <w:b/>
          <w:szCs w:val="21"/>
        </w:rPr>
      </w:pPr>
      <w:r w:rsidRPr="002C17A7">
        <w:rPr>
          <w:rFonts w:ascii="仿宋" w:eastAsia="仿宋" w:hAnsi="仿宋"/>
          <w:b/>
          <w:noProof/>
          <w:szCs w:val="21"/>
        </w:rPr>
        <w:drawing>
          <wp:inline distT="0" distB="0" distL="0" distR="0">
            <wp:extent cx="4848225" cy="1524000"/>
            <wp:effectExtent l="19050" t="0" r="9525" b="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848225" cy="1524000"/>
                    </a:xfrm>
                    <a:prstGeom prst="rect">
                      <a:avLst/>
                    </a:prstGeom>
                    <a:noFill/>
                    <a:ln w="9525">
                      <a:noFill/>
                      <a:miter lim="800000"/>
                      <a:headEnd/>
                      <a:tailEnd/>
                    </a:ln>
                  </pic:spPr>
                </pic:pic>
              </a:graphicData>
            </a:graphic>
          </wp:inline>
        </w:drawing>
      </w:r>
    </w:p>
    <w:p w:rsidR="00276EC6" w:rsidRPr="002C17A7" w:rsidRDefault="00276EC6" w:rsidP="002C17A7">
      <w:pPr>
        <w:spacing w:line="360" w:lineRule="auto"/>
        <w:rPr>
          <w:rFonts w:ascii="仿宋" w:eastAsia="仿宋" w:hAnsi="仿宋"/>
          <w:b/>
          <w:szCs w:val="21"/>
        </w:rPr>
      </w:pPr>
    </w:p>
    <w:p w:rsidR="00276EC6" w:rsidRPr="00526913" w:rsidRDefault="00276EC6" w:rsidP="002C17A7">
      <w:pPr>
        <w:spacing w:line="360" w:lineRule="auto"/>
        <w:rPr>
          <w:rFonts w:asciiTheme="minorEastAsia" w:hAnsiTheme="minorEastAsia"/>
          <w:b/>
          <w:szCs w:val="21"/>
        </w:rPr>
      </w:pPr>
      <w:r w:rsidRPr="00526913">
        <w:rPr>
          <w:rFonts w:asciiTheme="minorEastAsia" w:hAnsiTheme="minorEastAsia" w:hint="eastAsia"/>
          <w:b/>
          <w:szCs w:val="21"/>
        </w:rPr>
        <w:t>三、现券：</w:t>
      </w:r>
      <w:r w:rsidR="002C17A7" w:rsidRPr="00526913">
        <w:rPr>
          <w:rFonts w:asciiTheme="minorEastAsia" w:hAnsiTheme="minorEastAsia" w:hint="eastAsia"/>
          <w:b/>
          <w:szCs w:val="21"/>
        </w:rPr>
        <w:t>周初利率债收益率呈现震荡态势，国债交投相对清淡，周三央行未一次性续做当月MLF引发市场担忧，央行或将伴随美联储加息上调公开市场操作利率，利率债收益率随后有所上行，后市关注美联储动态，年末机构仍谨慎为主</w:t>
      </w:r>
    </w:p>
    <w:p w:rsidR="00526913" w:rsidRDefault="00526913" w:rsidP="00D764B2">
      <w:pPr>
        <w:pStyle w:val="Default"/>
        <w:spacing w:line="360" w:lineRule="auto"/>
        <w:ind w:firstLineChars="196" w:firstLine="412"/>
        <w:rPr>
          <w:rFonts w:ascii="仿宋" w:eastAsia="仿宋" w:hAnsi="仿宋"/>
          <w:sz w:val="21"/>
          <w:szCs w:val="21"/>
        </w:rPr>
      </w:pPr>
    </w:p>
    <w:p w:rsidR="00526913" w:rsidRDefault="00526913" w:rsidP="00D764B2">
      <w:pPr>
        <w:pStyle w:val="Default"/>
        <w:spacing w:line="360" w:lineRule="auto"/>
        <w:ind w:firstLineChars="196" w:firstLine="412"/>
        <w:rPr>
          <w:rFonts w:ascii="仿宋" w:eastAsia="仿宋" w:hAnsi="仿宋"/>
          <w:sz w:val="21"/>
          <w:szCs w:val="21"/>
        </w:rPr>
      </w:pPr>
    </w:p>
    <w:p w:rsidR="00526913" w:rsidRDefault="00526913" w:rsidP="00D764B2">
      <w:pPr>
        <w:pStyle w:val="Default"/>
        <w:spacing w:line="360" w:lineRule="auto"/>
        <w:ind w:firstLineChars="196" w:firstLine="412"/>
        <w:rPr>
          <w:rFonts w:ascii="仿宋" w:eastAsia="仿宋" w:hAnsi="仿宋"/>
          <w:sz w:val="21"/>
          <w:szCs w:val="21"/>
        </w:rPr>
      </w:pPr>
    </w:p>
    <w:p w:rsidR="00526913" w:rsidRDefault="00526913" w:rsidP="00D764B2">
      <w:pPr>
        <w:pStyle w:val="Default"/>
        <w:spacing w:line="360" w:lineRule="auto"/>
        <w:ind w:firstLineChars="196" w:firstLine="412"/>
        <w:rPr>
          <w:rFonts w:ascii="仿宋" w:eastAsia="仿宋" w:hAnsi="仿宋"/>
          <w:sz w:val="21"/>
          <w:szCs w:val="21"/>
        </w:rPr>
      </w:pPr>
    </w:p>
    <w:p w:rsidR="00526913" w:rsidRDefault="00526913" w:rsidP="00D764B2">
      <w:pPr>
        <w:pStyle w:val="Default"/>
        <w:spacing w:line="360" w:lineRule="auto"/>
        <w:ind w:firstLineChars="196" w:firstLine="412"/>
        <w:rPr>
          <w:rFonts w:ascii="仿宋" w:eastAsia="仿宋" w:hAnsi="仿宋"/>
          <w:sz w:val="21"/>
          <w:szCs w:val="21"/>
        </w:rPr>
      </w:pPr>
    </w:p>
    <w:p w:rsidR="002C17A7" w:rsidRPr="00526913" w:rsidRDefault="002C17A7" w:rsidP="00526913">
      <w:pPr>
        <w:pStyle w:val="Default"/>
        <w:spacing w:line="360" w:lineRule="auto"/>
        <w:rPr>
          <w:rFonts w:asciiTheme="minorEastAsia" w:hAnsiTheme="minorEastAsia"/>
          <w:sz w:val="21"/>
          <w:szCs w:val="21"/>
        </w:rPr>
      </w:pPr>
      <w:r w:rsidRPr="00526913">
        <w:rPr>
          <w:rFonts w:asciiTheme="minorEastAsia" w:hAnsiTheme="minorEastAsia" w:hint="eastAsia"/>
          <w:sz w:val="21"/>
          <w:szCs w:val="21"/>
        </w:rPr>
        <w:lastRenderedPageBreak/>
        <w:t>现券一级市场发行情况统计</w:t>
      </w:r>
    </w:p>
    <w:p w:rsidR="002C17A7" w:rsidRPr="002C17A7" w:rsidRDefault="002C17A7" w:rsidP="003166E9">
      <w:pPr>
        <w:pStyle w:val="Default"/>
        <w:spacing w:line="360" w:lineRule="auto"/>
        <w:jc w:val="center"/>
        <w:rPr>
          <w:rFonts w:ascii="仿宋" w:eastAsia="仿宋" w:hAnsi="仿宋"/>
          <w:b/>
          <w:sz w:val="21"/>
          <w:szCs w:val="21"/>
        </w:rPr>
      </w:pPr>
      <w:r w:rsidRPr="002C17A7">
        <w:rPr>
          <w:rFonts w:ascii="仿宋" w:eastAsia="仿宋" w:hAnsi="仿宋"/>
          <w:b/>
          <w:noProof/>
          <w:sz w:val="21"/>
          <w:szCs w:val="21"/>
        </w:rPr>
        <w:drawing>
          <wp:inline distT="0" distB="0" distL="0" distR="0">
            <wp:extent cx="5153025" cy="2247900"/>
            <wp:effectExtent l="19050" t="0" r="9525"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153025" cy="2247900"/>
                    </a:xfrm>
                    <a:prstGeom prst="rect">
                      <a:avLst/>
                    </a:prstGeom>
                    <a:noFill/>
                    <a:ln w="9525">
                      <a:noFill/>
                      <a:miter lim="800000"/>
                      <a:headEnd/>
                      <a:tailEnd/>
                    </a:ln>
                  </pic:spPr>
                </pic:pic>
              </a:graphicData>
            </a:graphic>
          </wp:inline>
        </w:drawing>
      </w:r>
    </w:p>
    <w:p w:rsidR="00526913" w:rsidRDefault="00526913" w:rsidP="00D764B2">
      <w:pPr>
        <w:pStyle w:val="Default"/>
        <w:spacing w:line="360" w:lineRule="auto"/>
        <w:ind w:firstLineChars="196" w:firstLine="412"/>
        <w:rPr>
          <w:rFonts w:ascii="仿宋" w:eastAsia="仿宋" w:hAnsi="仿宋"/>
          <w:sz w:val="21"/>
          <w:szCs w:val="21"/>
        </w:rPr>
      </w:pPr>
    </w:p>
    <w:p w:rsidR="002C17A7" w:rsidRPr="00526913" w:rsidRDefault="002C17A7" w:rsidP="00526913">
      <w:pPr>
        <w:pStyle w:val="Default"/>
        <w:spacing w:line="360" w:lineRule="auto"/>
        <w:rPr>
          <w:rFonts w:asciiTheme="minorEastAsia" w:hAnsiTheme="minorEastAsia"/>
          <w:sz w:val="21"/>
          <w:szCs w:val="21"/>
        </w:rPr>
      </w:pPr>
      <w:r w:rsidRPr="00526913">
        <w:rPr>
          <w:rFonts w:asciiTheme="minorEastAsia" w:hAnsiTheme="minorEastAsia" w:hint="eastAsia"/>
          <w:sz w:val="21"/>
          <w:szCs w:val="21"/>
        </w:rPr>
        <w:t>利率债一级市场发行情况</w:t>
      </w:r>
    </w:p>
    <w:p w:rsidR="002C17A7" w:rsidRPr="002C17A7" w:rsidRDefault="002C17A7" w:rsidP="003166E9">
      <w:pPr>
        <w:pStyle w:val="Default"/>
        <w:spacing w:line="360" w:lineRule="auto"/>
        <w:jc w:val="center"/>
        <w:rPr>
          <w:rFonts w:ascii="仿宋" w:eastAsia="仿宋" w:hAnsi="仿宋"/>
          <w:b/>
          <w:sz w:val="21"/>
          <w:szCs w:val="21"/>
        </w:rPr>
      </w:pPr>
      <w:r w:rsidRPr="002C17A7">
        <w:rPr>
          <w:rFonts w:ascii="仿宋" w:eastAsia="仿宋" w:hAnsi="仿宋"/>
          <w:b/>
          <w:noProof/>
          <w:sz w:val="21"/>
          <w:szCs w:val="21"/>
        </w:rPr>
        <w:drawing>
          <wp:inline distT="0" distB="0" distL="0" distR="0">
            <wp:extent cx="5274310" cy="2338001"/>
            <wp:effectExtent l="19050" t="0" r="254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274310" cy="2338001"/>
                    </a:xfrm>
                    <a:prstGeom prst="rect">
                      <a:avLst/>
                    </a:prstGeom>
                    <a:noFill/>
                    <a:ln w="9525">
                      <a:noFill/>
                      <a:miter lim="800000"/>
                      <a:headEnd/>
                      <a:tailEnd/>
                    </a:ln>
                  </pic:spPr>
                </pic:pic>
              </a:graphicData>
            </a:graphic>
          </wp:inline>
        </w:drawing>
      </w:r>
    </w:p>
    <w:p w:rsidR="00526913" w:rsidRDefault="00526913" w:rsidP="003166E9">
      <w:pPr>
        <w:pStyle w:val="Default"/>
        <w:spacing w:line="360" w:lineRule="auto"/>
        <w:ind w:firstLineChars="196" w:firstLine="413"/>
        <w:rPr>
          <w:rFonts w:ascii="仿宋" w:eastAsia="仿宋" w:hAnsi="仿宋"/>
          <w:b/>
          <w:sz w:val="21"/>
          <w:szCs w:val="21"/>
        </w:rPr>
      </w:pPr>
    </w:p>
    <w:p w:rsidR="002C17A7" w:rsidRPr="00526913" w:rsidRDefault="002C17A7" w:rsidP="003166E9">
      <w:pPr>
        <w:pStyle w:val="Default"/>
        <w:spacing w:line="360" w:lineRule="auto"/>
        <w:ind w:firstLineChars="196" w:firstLine="413"/>
        <w:rPr>
          <w:rFonts w:asciiTheme="minorEastAsia" w:hAnsiTheme="minorEastAsia"/>
          <w:sz w:val="21"/>
          <w:szCs w:val="21"/>
        </w:rPr>
      </w:pPr>
      <w:r w:rsidRPr="00526913">
        <w:rPr>
          <w:rFonts w:asciiTheme="minorEastAsia" w:hAnsiTheme="minorEastAsia" w:hint="eastAsia"/>
          <w:b/>
          <w:sz w:val="21"/>
          <w:szCs w:val="21"/>
        </w:rPr>
        <w:t>利率债方面：</w:t>
      </w:r>
      <w:r w:rsidRPr="00526913">
        <w:rPr>
          <w:rFonts w:asciiTheme="minorEastAsia" w:hAnsiTheme="minorEastAsia" w:hint="eastAsia"/>
          <w:sz w:val="21"/>
          <w:szCs w:val="21"/>
        </w:rPr>
        <w:t>一级市场方面，本周10年期国开债依旧停发，中长端整体需求较强，中标结果较好。二级市场方面，国债、金债走势出现分化，国债收益率小幅上行，金债收益率小幅下行。具体来看，国债收益率小幅上行2bp，金债收益率小幅下行2bp。周初利率债收益率呈现震荡态势，国债交投相对清淡，周三央行未一次性续做当月MLF引发市场担忧，央行或将伴随美联储加息上调公开市场操作利率，利率债收益率随后有所上行，后市关注美联储动态，年末机构仍谨慎为主。</w:t>
      </w:r>
    </w:p>
    <w:p w:rsidR="00526913" w:rsidRDefault="00526913" w:rsidP="003166E9">
      <w:pPr>
        <w:pStyle w:val="Default"/>
        <w:spacing w:line="360" w:lineRule="auto"/>
        <w:ind w:firstLineChars="200" w:firstLine="420"/>
        <w:rPr>
          <w:rFonts w:ascii="仿宋" w:eastAsia="仿宋" w:hAnsi="仿宋"/>
          <w:sz w:val="21"/>
          <w:szCs w:val="21"/>
        </w:rPr>
      </w:pPr>
    </w:p>
    <w:p w:rsidR="00526913" w:rsidRDefault="00526913" w:rsidP="003166E9">
      <w:pPr>
        <w:pStyle w:val="Default"/>
        <w:spacing w:line="360" w:lineRule="auto"/>
        <w:ind w:firstLineChars="200" w:firstLine="420"/>
        <w:rPr>
          <w:rFonts w:ascii="仿宋" w:eastAsia="仿宋" w:hAnsi="仿宋"/>
          <w:sz w:val="21"/>
          <w:szCs w:val="21"/>
        </w:rPr>
      </w:pPr>
    </w:p>
    <w:p w:rsidR="00526913" w:rsidRDefault="00526913" w:rsidP="003166E9">
      <w:pPr>
        <w:pStyle w:val="Default"/>
        <w:spacing w:line="360" w:lineRule="auto"/>
        <w:ind w:firstLineChars="200" w:firstLine="420"/>
        <w:rPr>
          <w:rFonts w:ascii="仿宋" w:eastAsia="仿宋" w:hAnsi="仿宋"/>
          <w:sz w:val="21"/>
          <w:szCs w:val="21"/>
        </w:rPr>
      </w:pPr>
    </w:p>
    <w:p w:rsidR="00526913" w:rsidRDefault="00526913" w:rsidP="003166E9">
      <w:pPr>
        <w:pStyle w:val="Default"/>
        <w:spacing w:line="360" w:lineRule="auto"/>
        <w:ind w:firstLineChars="200" w:firstLine="420"/>
        <w:rPr>
          <w:rFonts w:ascii="仿宋" w:eastAsia="仿宋" w:hAnsi="仿宋"/>
          <w:sz w:val="21"/>
          <w:szCs w:val="21"/>
        </w:rPr>
      </w:pPr>
    </w:p>
    <w:p w:rsidR="002C17A7" w:rsidRPr="00526913" w:rsidRDefault="002C17A7" w:rsidP="00526913">
      <w:pPr>
        <w:pStyle w:val="Default"/>
        <w:spacing w:line="360" w:lineRule="auto"/>
        <w:rPr>
          <w:rFonts w:asciiTheme="minorEastAsia" w:hAnsiTheme="minorEastAsia"/>
          <w:sz w:val="21"/>
          <w:szCs w:val="21"/>
        </w:rPr>
      </w:pPr>
      <w:r w:rsidRPr="00526913">
        <w:rPr>
          <w:rFonts w:asciiTheme="minorEastAsia" w:hAnsiTheme="minorEastAsia" w:hint="eastAsia"/>
          <w:sz w:val="21"/>
          <w:szCs w:val="21"/>
        </w:rPr>
        <w:lastRenderedPageBreak/>
        <w:t>利率债活跃品种收益率</w:t>
      </w:r>
    </w:p>
    <w:p w:rsidR="002C17A7" w:rsidRPr="002C17A7" w:rsidRDefault="002C17A7" w:rsidP="00526913">
      <w:pPr>
        <w:pStyle w:val="Default"/>
        <w:spacing w:line="360" w:lineRule="auto"/>
        <w:jc w:val="center"/>
        <w:rPr>
          <w:rFonts w:ascii="仿宋" w:eastAsia="仿宋" w:hAnsi="仿宋"/>
          <w:b/>
          <w:sz w:val="21"/>
          <w:szCs w:val="21"/>
        </w:rPr>
      </w:pPr>
      <w:r w:rsidRPr="002C17A7">
        <w:rPr>
          <w:rFonts w:ascii="仿宋" w:eastAsia="仿宋" w:hAnsi="仿宋"/>
          <w:b/>
          <w:noProof/>
          <w:sz w:val="21"/>
          <w:szCs w:val="21"/>
        </w:rPr>
        <w:drawing>
          <wp:inline distT="0" distB="0" distL="0" distR="0">
            <wp:extent cx="4286250" cy="1562100"/>
            <wp:effectExtent l="19050" t="0" r="0" b="0"/>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4286250" cy="1562100"/>
                    </a:xfrm>
                    <a:prstGeom prst="rect">
                      <a:avLst/>
                    </a:prstGeom>
                    <a:noFill/>
                    <a:ln w="9525">
                      <a:noFill/>
                      <a:miter lim="800000"/>
                      <a:headEnd/>
                      <a:tailEnd/>
                    </a:ln>
                  </pic:spPr>
                </pic:pic>
              </a:graphicData>
            </a:graphic>
          </wp:inline>
        </w:drawing>
      </w:r>
    </w:p>
    <w:p w:rsidR="00526913" w:rsidRDefault="00526913" w:rsidP="003166E9">
      <w:pPr>
        <w:pStyle w:val="Default"/>
        <w:spacing w:line="360" w:lineRule="auto"/>
        <w:ind w:firstLineChars="200" w:firstLine="420"/>
        <w:rPr>
          <w:rFonts w:ascii="仿宋" w:eastAsia="仿宋" w:hAnsi="仿宋"/>
          <w:sz w:val="21"/>
          <w:szCs w:val="21"/>
        </w:rPr>
      </w:pPr>
    </w:p>
    <w:p w:rsidR="002C17A7" w:rsidRPr="00526913" w:rsidRDefault="002C17A7" w:rsidP="00526913">
      <w:pPr>
        <w:pStyle w:val="Default"/>
        <w:spacing w:line="360" w:lineRule="auto"/>
        <w:rPr>
          <w:rFonts w:asciiTheme="minorEastAsia" w:hAnsiTheme="minorEastAsia"/>
          <w:sz w:val="21"/>
          <w:szCs w:val="21"/>
        </w:rPr>
      </w:pPr>
      <w:r w:rsidRPr="00526913">
        <w:rPr>
          <w:rFonts w:asciiTheme="minorEastAsia" w:hAnsiTheme="minorEastAsia" w:hint="eastAsia"/>
          <w:sz w:val="21"/>
          <w:szCs w:val="21"/>
        </w:rPr>
        <w:t>利率债关键期限收益率曲线</w:t>
      </w:r>
    </w:p>
    <w:p w:rsidR="002C17A7" w:rsidRPr="002C17A7" w:rsidRDefault="002C17A7" w:rsidP="003166E9">
      <w:pPr>
        <w:pStyle w:val="Default"/>
        <w:spacing w:line="360" w:lineRule="auto"/>
        <w:jc w:val="center"/>
        <w:rPr>
          <w:rFonts w:ascii="仿宋" w:eastAsia="仿宋" w:hAnsi="仿宋"/>
          <w:b/>
          <w:sz w:val="21"/>
          <w:szCs w:val="21"/>
        </w:rPr>
      </w:pPr>
      <w:r w:rsidRPr="002C17A7">
        <w:rPr>
          <w:rFonts w:ascii="仿宋" w:eastAsia="仿宋" w:hAnsi="仿宋"/>
          <w:b/>
          <w:noProof/>
          <w:sz w:val="21"/>
          <w:szCs w:val="21"/>
        </w:rPr>
        <w:drawing>
          <wp:inline distT="0" distB="0" distL="0" distR="0">
            <wp:extent cx="5086350" cy="1533525"/>
            <wp:effectExtent l="19050" t="0" r="0" b="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5086350" cy="1533525"/>
                    </a:xfrm>
                    <a:prstGeom prst="rect">
                      <a:avLst/>
                    </a:prstGeom>
                    <a:noFill/>
                    <a:ln w="9525">
                      <a:noFill/>
                      <a:miter lim="800000"/>
                      <a:headEnd/>
                      <a:tailEnd/>
                    </a:ln>
                  </pic:spPr>
                </pic:pic>
              </a:graphicData>
            </a:graphic>
          </wp:inline>
        </w:drawing>
      </w:r>
    </w:p>
    <w:p w:rsidR="00526913" w:rsidRDefault="00526913" w:rsidP="003166E9">
      <w:pPr>
        <w:pStyle w:val="Default"/>
        <w:spacing w:line="360" w:lineRule="auto"/>
        <w:ind w:firstLineChars="196" w:firstLine="413"/>
        <w:rPr>
          <w:rFonts w:ascii="仿宋" w:eastAsia="仿宋" w:hAnsi="仿宋"/>
          <w:b/>
          <w:sz w:val="21"/>
          <w:szCs w:val="21"/>
        </w:rPr>
      </w:pPr>
    </w:p>
    <w:p w:rsidR="002C17A7" w:rsidRPr="00526913" w:rsidRDefault="002C17A7" w:rsidP="003166E9">
      <w:pPr>
        <w:pStyle w:val="Default"/>
        <w:spacing w:line="360" w:lineRule="auto"/>
        <w:ind w:firstLineChars="196" w:firstLine="413"/>
        <w:rPr>
          <w:rFonts w:asciiTheme="minorEastAsia" w:hAnsiTheme="minorEastAsia"/>
          <w:sz w:val="21"/>
          <w:szCs w:val="21"/>
        </w:rPr>
      </w:pPr>
      <w:r w:rsidRPr="00526913">
        <w:rPr>
          <w:rFonts w:asciiTheme="minorEastAsia" w:hAnsiTheme="minorEastAsia" w:hint="eastAsia"/>
          <w:b/>
          <w:sz w:val="21"/>
          <w:szCs w:val="21"/>
        </w:rPr>
        <w:t>信用债方面：</w:t>
      </w:r>
      <w:r w:rsidRPr="00526913">
        <w:rPr>
          <w:rFonts w:asciiTheme="minorEastAsia" w:hAnsiTheme="minorEastAsia" w:hint="eastAsia"/>
          <w:sz w:val="21"/>
          <w:szCs w:val="21"/>
        </w:rPr>
        <w:t>二级市场方面，现券收益率小幅下行。具体来看，短融成交以3个月内AA+以上品种为主，中票成交以3年内AA+以上品种为主，企业债成交以5年内AA以上品种为主。短融方面，90天以上品种收益率小幅下行，下行幅度在10bp以内；中票、企业债方面，收益率有所下行，下行幅度在10bp以内。</w:t>
      </w:r>
    </w:p>
    <w:p w:rsidR="00276EC6" w:rsidRPr="002C17A7" w:rsidRDefault="00276EC6" w:rsidP="002C17A7">
      <w:pPr>
        <w:pStyle w:val="Default"/>
        <w:spacing w:line="360" w:lineRule="auto"/>
        <w:rPr>
          <w:rFonts w:ascii="仿宋" w:eastAsia="仿宋" w:hAnsi="仿宋"/>
          <w:b/>
          <w:sz w:val="21"/>
          <w:szCs w:val="21"/>
        </w:rPr>
      </w:pPr>
    </w:p>
    <w:p w:rsidR="00C91E8E" w:rsidRPr="00526913" w:rsidRDefault="001441DE" w:rsidP="002C17A7">
      <w:pPr>
        <w:pStyle w:val="Default"/>
        <w:spacing w:line="360" w:lineRule="auto"/>
        <w:rPr>
          <w:rFonts w:asciiTheme="minorEastAsia" w:hAnsiTheme="minorEastAsia" w:cstheme="minorBidi"/>
          <w:b/>
          <w:color w:val="auto"/>
          <w:kern w:val="2"/>
          <w:sz w:val="21"/>
          <w:szCs w:val="21"/>
        </w:rPr>
      </w:pPr>
      <w:r w:rsidRPr="00526913">
        <w:rPr>
          <w:rFonts w:asciiTheme="minorEastAsia" w:hAnsiTheme="minorEastAsia" w:hint="eastAsia"/>
          <w:b/>
          <w:sz w:val="21"/>
          <w:szCs w:val="21"/>
        </w:rPr>
        <w:t>四、</w:t>
      </w:r>
      <w:r w:rsidRPr="00526913">
        <w:rPr>
          <w:rFonts w:asciiTheme="minorEastAsia" w:hAnsiTheme="minorEastAsia" w:cstheme="minorBidi" w:hint="eastAsia"/>
          <w:b/>
          <w:color w:val="auto"/>
          <w:kern w:val="2"/>
          <w:sz w:val="21"/>
          <w:szCs w:val="21"/>
        </w:rPr>
        <w:t>公司观点：</w:t>
      </w:r>
      <w:r w:rsidR="007D3193" w:rsidRPr="00526913">
        <w:rPr>
          <w:rFonts w:asciiTheme="minorEastAsia" w:hAnsiTheme="minorEastAsia" w:cstheme="minorBidi" w:hint="eastAsia"/>
          <w:b/>
          <w:color w:val="auto"/>
          <w:kern w:val="2"/>
          <w:sz w:val="21"/>
          <w:szCs w:val="21"/>
        </w:rPr>
        <w:t>继续</w:t>
      </w:r>
      <w:r w:rsidR="003D5E6F" w:rsidRPr="00526913">
        <w:rPr>
          <w:rFonts w:asciiTheme="minorEastAsia" w:hAnsiTheme="minorEastAsia" w:cstheme="minorBidi" w:hint="eastAsia"/>
          <w:b/>
          <w:color w:val="auto"/>
          <w:kern w:val="2"/>
          <w:sz w:val="21"/>
          <w:szCs w:val="21"/>
        </w:rPr>
        <w:t>建议</w:t>
      </w:r>
      <w:r w:rsidR="007D3193" w:rsidRPr="00526913">
        <w:rPr>
          <w:rFonts w:asciiTheme="minorEastAsia" w:hAnsiTheme="minorEastAsia" w:cstheme="minorBidi" w:hint="eastAsia"/>
          <w:b/>
          <w:color w:val="auto"/>
          <w:kern w:val="2"/>
          <w:sz w:val="21"/>
          <w:szCs w:val="21"/>
        </w:rPr>
        <w:t>中</w:t>
      </w:r>
      <w:r w:rsidR="003D5E6F" w:rsidRPr="00526913">
        <w:rPr>
          <w:rFonts w:asciiTheme="minorEastAsia" w:hAnsiTheme="minorEastAsia" w:cstheme="minorBidi" w:hint="eastAsia"/>
          <w:b/>
          <w:color w:val="auto"/>
          <w:kern w:val="2"/>
          <w:sz w:val="21"/>
          <w:szCs w:val="21"/>
        </w:rPr>
        <w:t>短</w:t>
      </w:r>
      <w:r w:rsidR="003D5E6F" w:rsidRPr="00526913">
        <w:rPr>
          <w:rFonts w:asciiTheme="minorEastAsia" w:hAnsiTheme="minorEastAsia" w:cstheme="minorBidi"/>
          <w:b/>
          <w:color w:val="auto"/>
          <w:kern w:val="2"/>
          <w:sz w:val="21"/>
          <w:szCs w:val="21"/>
        </w:rPr>
        <w:t>久期和</w:t>
      </w:r>
      <w:r w:rsidR="00E6262F" w:rsidRPr="00526913">
        <w:rPr>
          <w:rFonts w:asciiTheme="minorEastAsia" w:hAnsiTheme="minorEastAsia" w:cstheme="minorBidi" w:hint="eastAsia"/>
          <w:b/>
          <w:color w:val="auto"/>
          <w:kern w:val="2"/>
          <w:sz w:val="21"/>
          <w:szCs w:val="21"/>
        </w:rPr>
        <w:t>适中</w:t>
      </w:r>
      <w:r w:rsidR="003D5E6F" w:rsidRPr="00526913">
        <w:rPr>
          <w:rFonts w:asciiTheme="minorEastAsia" w:hAnsiTheme="minorEastAsia" w:cstheme="minorBidi"/>
          <w:b/>
          <w:color w:val="auto"/>
          <w:kern w:val="2"/>
          <w:sz w:val="21"/>
          <w:szCs w:val="21"/>
        </w:rPr>
        <w:t>杠杆水平</w:t>
      </w:r>
    </w:p>
    <w:p w:rsidR="00794A44" w:rsidRDefault="00113D49" w:rsidP="00404854">
      <w:pPr>
        <w:autoSpaceDE w:val="0"/>
        <w:autoSpaceDN w:val="0"/>
        <w:adjustRightInd w:val="0"/>
        <w:spacing w:line="360" w:lineRule="auto"/>
        <w:ind w:firstLineChars="200" w:firstLine="420"/>
        <w:rPr>
          <w:rFonts w:asciiTheme="minorEastAsia" w:hAnsiTheme="minorEastAsia"/>
          <w:szCs w:val="21"/>
        </w:rPr>
      </w:pPr>
      <w:r w:rsidRPr="00526913">
        <w:rPr>
          <w:rFonts w:asciiTheme="minorEastAsia" w:hAnsiTheme="minorEastAsia" w:hint="eastAsia"/>
          <w:szCs w:val="21"/>
        </w:rPr>
        <w:t>整体来看，</w:t>
      </w:r>
      <w:r w:rsidRPr="00526913">
        <w:rPr>
          <w:rFonts w:asciiTheme="minorEastAsia" w:hAnsiTheme="minorEastAsia"/>
          <w:szCs w:val="21"/>
        </w:rPr>
        <w:t>上周债市弱市行情不改，收益率保持小幅震荡后上行。</w:t>
      </w:r>
      <w:r w:rsidR="00404854" w:rsidRPr="00526913">
        <w:rPr>
          <w:rFonts w:asciiTheme="minorEastAsia" w:hAnsiTheme="minorEastAsia"/>
          <w:szCs w:val="21"/>
        </w:rPr>
        <w:t>一级市场</w:t>
      </w:r>
      <w:r w:rsidR="00404854" w:rsidRPr="00526913">
        <w:rPr>
          <w:rFonts w:asciiTheme="minorEastAsia" w:hAnsiTheme="minorEastAsia" w:hint="eastAsia"/>
          <w:szCs w:val="21"/>
        </w:rPr>
        <w:t>方面</w:t>
      </w:r>
      <w:r w:rsidR="00404854" w:rsidRPr="00526913">
        <w:rPr>
          <w:rFonts w:asciiTheme="minorEastAsia" w:hAnsiTheme="minorEastAsia"/>
          <w:szCs w:val="21"/>
        </w:rPr>
        <w:t>，本周信用债总</w:t>
      </w:r>
      <w:r w:rsidR="00404854" w:rsidRPr="00526913">
        <w:rPr>
          <w:rFonts w:asciiTheme="minorEastAsia" w:hAnsiTheme="minorEastAsia" w:hint="eastAsia"/>
          <w:szCs w:val="21"/>
        </w:rPr>
        <w:t>发</w:t>
      </w:r>
      <w:r w:rsidR="00404854" w:rsidRPr="00526913">
        <w:rPr>
          <w:rFonts w:asciiTheme="minorEastAsia" w:hAnsiTheme="minorEastAsia"/>
          <w:szCs w:val="21"/>
        </w:rPr>
        <w:t>行量较上周小幅增加，但与</w:t>
      </w:r>
      <w:r w:rsidR="00404854" w:rsidRPr="00526913">
        <w:rPr>
          <w:rFonts w:asciiTheme="minorEastAsia" w:hAnsiTheme="minorEastAsia" w:hint="eastAsia"/>
          <w:szCs w:val="21"/>
        </w:rPr>
        <w:t xml:space="preserve"> </w:t>
      </w:r>
      <w:r w:rsidR="00404854" w:rsidRPr="00526913">
        <w:rPr>
          <w:rFonts w:asciiTheme="minorEastAsia" w:hAnsiTheme="minorEastAsia"/>
          <w:szCs w:val="21"/>
        </w:rPr>
        <w:t>11</w:t>
      </w:r>
      <w:r w:rsidR="00404854" w:rsidRPr="00526913">
        <w:rPr>
          <w:rFonts w:asciiTheme="minorEastAsia" w:hAnsiTheme="minorEastAsia" w:hint="eastAsia"/>
          <w:szCs w:val="21"/>
        </w:rPr>
        <w:t xml:space="preserve"> </w:t>
      </w:r>
      <w:r w:rsidR="00404854" w:rsidRPr="00526913">
        <w:rPr>
          <w:rFonts w:asciiTheme="minorEastAsia" w:hAnsiTheme="minorEastAsia"/>
          <w:szCs w:val="21"/>
        </w:rPr>
        <w:t>月各周相比仍处低位，总偿还量回落带动整体净融资额抬升</w:t>
      </w:r>
      <w:r w:rsidR="00404854" w:rsidRPr="00526913">
        <w:rPr>
          <w:rFonts w:asciiTheme="minorEastAsia" w:hAnsiTheme="minorEastAsia" w:hint="eastAsia"/>
          <w:szCs w:val="21"/>
        </w:rPr>
        <w:t>，</w:t>
      </w:r>
      <w:r w:rsidR="00404854" w:rsidRPr="00526913">
        <w:rPr>
          <w:rFonts w:asciiTheme="minorEastAsia" w:hAnsiTheme="minorEastAsia"/>
          <w:szCs w:val="21"/>
        </w:rPr>
        <w:t>从投标来看，中标利率基本比二级市场利率有所下行，投招标倍数尚可，需求整体一般。二级市场</w:t>
      </w:r>
      <w:r w:rsidR="00404854" w:rsidRPr="00526913">
        <w:rPr>
          <w:rFonts w:asciiTheme="minorEastAsia" w:hAnsiTheme="minorEastAsia" w:hint="eastAsia"/>
          <w:szCs w:val="21"/>
        </w:rPr>
        <w:t>方面</w:t>
      </w:r>
      <w:r w:rsidR="00404854" w:rsidRPr="00526913">
        <w:rPr>
          <w:rFonts w:asciiTheme="minorEastAsia" w:hAnsiTheme="minorEastAsia"/>
          <w:szCs w:val="21"/>
        </w:rPr>
        <w:t>，成交量不温不火较上周仅增加 2785 亿元，企业债和公司债是主要推力。</w:t>
      </w:r>
      <w:r w:rsidRPr="00526913">
        <w:rPr>
          <w:rFonts w:asciiTheme="minorEastAsia" w:hAnsiTheme="minorEastAsia"/>
          <w:szCs w:val="21"/>
        </w:rPr>
        <w:t>目前来看，基本面保持平稳，监管尚未落地，配债资金短缺，债市可能走出一段高位震荡的行情。</w:t>
      </w:r>
      <w:r w:rsidRPr="00526913">
        <w:rPr>
          <w:rFonts w:asciiTheme="minorEastAsia" w:hAnsiTheme="minorEastAsia" w:hint="eastAsia"/>
          <w:szCs w:val="21"/>
        </w:rPr>
        <w:t>继续建议中短</w:t>
      </w:r>
      <w:r w:rsidRPr="00526913">
        <w:rPr>
          <w:rFonts w:asciiTheme="minorEastAsia" w:hAnsiTheme="minorEastAsia"/>
          <w:szCs w:val="21"/>
        </w:rPr>
        <w:t>久期和</w:t>
      </w:r>
      <w:r w:rsidRPr="00526913">
        <w:rPr>
          <w:rFonts w:asciiTheme="minorEastAsia" w:hAnsiTheme="minorEastAsia" w:hint="eastAsia"/>
          <w:szCs w:val="21"/>
        </w:rPr>
        <w:t>适中</w:t>
      </w:r>
      <w:r w:rsidRPr="00526913">
        <w:rPr>
          <w:rFonts w:asciiTheme="minorEastAsia" w:hAnsiTheme="minorEastAsia"/>
          <w:szCs w:val="21"/>
        </w:rPr>
        <w:t>杠杆水平，并</w:t>
      </w:r>
      <w:r w:rsidRPr="00526913">
        <w:rPr>
          <w:rFonts w:asciiTheme="minorEastAsia" w:hAnsiTheme="minorEastAsia" w:hint="eastAsia"/>
          <w:szCs w:val="21"/>
        </w:rPr>
        <w:t>重点精选信用短券进行配置。</w:t>
      </w:r>
    </w:p>
    <w:p w:rsidR="00526913" w:rsidRDefault="00526913" w:rsidP="00526913">
      <w:pPr>
        <w:widowControl/>
        <w:jc w:val="left"/>
        <w:rPr>
          <w:rFonts w:asciiTheme="minorEastAsia" w:hAnsiTheme="minorEastAsia"/>
          <w:b/>
          <w:szCs w:val="21"/>
        </w:rPr>
      </w:pPr>
    </w:p>
    <w:p w:rsidR="00526913" w:rsidRDefault="00526913" w:rsidP="00526913">
      <w:pPr>
        <w:widowControl/>
        <w:jc w:val="left"/>
        <w:rPr>
          <w:rFonts w:asciiTheme="minorEastAsia" w:hAnsiTheme="minorEastAsia"/>
          <w:b/>
          <w:szCs w:val="21"/>
        </w:rPr>
      </w:pPr>
    </w:p>
    <w:p w:rsidR="00526913" w:rsidRDefault="00526913" w:rsidP="00526913">
      <w:pPr>
        <w:widowControl/>
        <w:jc w:val="left"/>
        <w:rPr>
          <w:rFonts w:asciiTheme="minorEastAsia" w:hAnsiTheme="minorEastAsia"/>
          <w:b/>
          <w:szCs w:val="21"/>
        </w:rPr>
      </w:pPr>
    </w:p>
    <w:p w:rsidR="00526913" w:rsidRDefault="00526913" w:rsidP="00526913">
      <w:pPr>
        <w:widowControl/>
        <w:jc w:val="left"/>
        <w:rPr>
          <w:rFonts w:asciiTheme="minorEastAsia" w:hAnsiTheme="minorEastAsia"/>
          <w:b/>
          <w:szCs w:val="21"/>
        </w:rPr>
      </w:pPr>
    </w:p>
    <w:p w:rsidR="00526913" w:rsidRDefault="00526913" w:rsidP="00526913">
      <w:pPr>
        <w:widowControl/>
        <w:jc w:val="left"/>
      </w:pPr>
      <w:r w:rsidRPr="006C7DDA">
        <w:rPr>
          <w:rFonts w:asciiTheme="minorEastAsia" w:hAnsiTheme="minorEastAsia" w:hint="eastAsia"/>
          <w:b/>
          <w:szCs w:val="21"/>
        </w:rPr>
        <w:lastRenderedPageBreak/>
        <w:t>声明：</w:t>
      </w:r>
      <w:r>
        <w:t xml:space="preserve"> </w:t>
      </w:r>
    </w:p>
    <w:p w:rsidR="00526913" w:rsidRPr="00FB450D" w:rsidRDefault="00526913" w:rsidP="00526913">
      <w:pPr>
        <w:widowControl/>
        <w:spacing w:line="360" w:lineRule="auto"/>
        <w:ind w:firstLine="420"/>
        <w:jc w:val="left"/>
        <w:rPr>
          <w:rFonts w:asciiTheme="minorEastAsia" w:hAnsiTheme="minorEastAsia"/>
          <w:szCs w:val="21"/>
        </w:rPr>
      </w:pPr>
      <w:r w:rsidRPr="00FB450D">
        <w:rPr>
          <w:rFonts w:asciiTheme="minorEastAsia" w:hAnsiTheme="minorEastAsia" w:hint="eastAsia"/>
          <w:szCs w:val="21"/>
        </w:rPr>
        <w:t xml:space="preserve">本报告中的信息均来源于已公开的资料，我公司对这些信息的准确性及完整性不作任何保证。 </w:t>
      </w:r>
    </w:p>
    <w:p w:rsidR="00526913" w:rsidRPr="00FB450D" w:rsidRDefault="00526913" w:rsidP="00526913">
      <w:pPr>
        <w:widowControl/>
        <w:spacing w:line="360" w:lineRule="auto"/>
        <w:ind w:firstLine="420"/>
        <w:jc w:val="left"/>
        <w:rPr>
          <w:rFonts w:asciiTheme="minorEastAsia" w:hAnsiTheme="minorEastAsia"/>
          <w:szCs w:val="21"/>
        </w:rPr>
      </w:pPr>
      <w:r w:rsidRPr="00FB450D">
        <w:rPr>
          <w:rFonts w:asciiTheme="minorEastAsia" w:hAnsiTheme="minorEastAsia" w:hint="eastAsia"/>
          <w:szCs w:val="21"/>
        </w:rPr>
        <w:t>在任何情况下，报告中的信息或所表达的意见并不构成证券买卖的出价或询价。在任何情况下，我公司不就报告中的任何投资做出任何形式的担保。本报告内容和意见不构成投资建议，仅供参考，使用前务必请核实，风险自负。</w:t>
      </w:r>
    </w:p>
    <w:p w:rsidR="00526913" w:rsidRPr="00FB450D" w:rsidRDefault="00526913" w:rsidP="00526913">
      <w:pPr>
        <w:widowControl/>
        <w:spacing w:line="360" w:lineRule="auto"/>
        <w:ind w:firstLine="420"/>
        <w:jc w:val="left"/>
        <w:rPr>
          <w:rFonts w:asciiTheme="minorEastAsia" w:hAnsiTheme="minorEastAsia"/>
          <w:szCs w:val="21"/>
        </w:rPr>
      </w:pPr>
      <w:r w:rsidRPr="00FB450D">
        <w:rPr>
          <w:rFonts w:asciiTheme="minorEastAsia" w:hAnsiTheme="minorEastAsia" w:hint="eastAsia"/>
          <w:szCs w:val="21"/>
        </w:rPr>
        <w:t>本报告版权归兴银基金管理有限责任公司所有，未获得兴银基金管理有限责任公司事先出面授权，任何人不得对本报告进行任何形式的发布、复制。</w:t>
      </w:r>
    </w:p>
    <w:p w:rsidR="00526913" w:rsidRPr="00526913" w:rsidRDefault="00526913" w:rsidP="00404854">
      <w:pPr>
        <w:autoSpaceDE w:val="0"/>
        <w:autoSpaceDN w:val="0"/>
        <w:adjustRightInd w:val="0"/>
        <w:spacing w:line="360" w:lineRule="auto"/>
        <w:ind w:firstLineChars="200" w:firstLine="420"/>
        <w:rPr>
          <w:rFonts w:asciiTheme="minorEastAsia" w:hAnsiTheme="minorEastAsia"/>
          <w:szCs w:val="21"/>
        </w:rPr>
      </w:pPr>
    </w:p>
    <w:sectPr w:rsidR="00526913" w:rsidRPr="00526913" w:rsidSect="00ED1D42">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6FD" w:rsidRDefault="009B46FD" w:rsidP="00B13644">
      <w:r>
        <w:separator/>
      </w:r>
    </w:p>
  </w:endnote>
  <w:endnote w:type="continuationSeparator" w:id="1">
    <w:p w:rsidR="009B46FD" w:rsidRDefault="009B46FD" w:rsidP="00B13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1130"/>
      <w:docPartObj>
        <w:docPartGallery w:val="Page Numbers (Bottom of Page)"/>
        <w:docPartUnique/>
      </w:docPartObj>
    </w:sdtPr>
    <w:sdtContent>
      <w:p w:rsidR="002A7B51" w:rsidRDefault="008E51A4">
        <w:pPr>
          <w:pStyle w:val="a4"/>
          <w:jc w:val="center"/>
        </w:pPr>
        <w:fldSimple w:instr=" PAGE   \* MERGEFORMAT ">
          <w:r w:rsidR="00F5503B" w:rsidRPr="00F5503B">
            <w:rPr>
              <w:noProof/>
              <w:lang w:val="zh-CN"/>
            </w:rPr>
            <w:t>1</w:t>
          </w:r>
        </w:fldSimple>
      </w:p>
    </w:sdtContent>
  </w:sdt>
  <w:p w:rsidR="002A7B51" w:rsidRDefault="002A7B5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6FD" w:rsidRDefault="009B46FD" w:rsidP="00B13644">
      <w:r>
        <w:separator/>
      </w:r>
    </w:p>
  </w:footnote>
  <w:footnote w:type="continuationSeparator" w:id="1">
    <w:p w:rsidR="009B46FD" w:rsidRDefault="009B46FD" w:rsidP="00B13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3644"/>
    <w:rsid w:val="00000C8E"/>
    <w:rsid w:val="000013B9"/>
    <w:rsid w:val="00001647"/>
    <w:rsid w:val="00002838"/>
    <w:rsid w:val="00003091"/>
    <w:rsid w:val="00004745"/>
    <w:rsid w:val="000064BE"/>
    <w:rsid w:val="00006ABF"/>
    <w:rsid w:val="00007514"/>
    <w:rsid w:val="00007825"/>
    <w:rsid w:val="0001027C"/>
    <w:rsid w:val="000118A6"/>
    <w:rsid w:val="000122F2"/>
    <w:rsid w:val="0001234A"/>
    <w:rsid w:val="000138E2"/>
    <w:rsid w:val="00015105"/>
    <w:rsid w:val="00016D80"/>
    <w:rsid w:val="000226DD"/>
    <w:rsid w:val="00022D5E"/>
    <w:rsid w:val="00023847"/>
    <w:rsid w:val="00025DBF"/>
    <w:rsid w:val="0003097A"/>
    <w:rsid w:val="000309E9"/>
    <w:rsid w:val="00034670"/>
    <w:rsid w:val="00035B96"/>
    <w:rsid w:val="00041AA4"/>
    <w:rsid w:val="0004228E"/>
    <w:rsid w:val="00043D38"/>
    <w:rsid w:val="00045851"/>
    <w:rsid w:val="00046104"/>
    <w:rsid w:val="00046787"/>
    <w:rsid w:val="00046B2A"/>
    <w:rsid w:val="000470CF"/>
    <w:rsid w:val="00047A49"/>
    <w:rsid w:val="00050E40"/>
    <w:rsid w:val="00052116"/>
    <w:rsid w:val="000525BF"/>
    <w:rsid w:val="00054012"/>
    <w:rsid w:val="00054075"/>
    <w:rsid w:val="00054D82"/>
    <w:rsid w:val="00060801"/>
    <w:rsid w:val="0006279B"/>
    <w:rsid w:val="000654D2"/>
    <w:rsid w:val="0006578F"/>
    <w:rsid w:val="00065967"/>
    <w:rsid w:val="00066069"/>
    <w:rsid w:val="00066A92"/>
    <w:rsid w:val="00067ACC"/>
    <w:rsid w:val="00070056"/>
    <w:rsid w:val="000714BC"/>
    <w:rsid w:val="000724D4"/>
    <w:rsid w:val="0007650C"/>
    <w:rsid w:val="000827FE"/>
    <w:rsid w:val="00084CB9"/>
    <w:rsid w:val="00087684"/>
    <w:rsid w:val="00090C40"/>
    <w:rsid w:val="00090F94"/>
    <w:rsid w:val="00092D85"/>
    <w:rsid w:val="000946D5"/>
    <w:rsid w:val="00096218"/>
    <w:rsid w:val="000967E0"/>
    <w:rsid w:val="00096F83"/>
    <w:rsid w:val="000A0D8B"/>
    <w:rsid w:val="000A2700"/>
    <w:rsid w:val="000A481B"/>
    <w:rsid w:val="000A55A9"/>
    <w:rsid w:val="000A5C35"/>
    <w:rsid w:val="000A659A"/>
    <w:rsid w:val="000A73CB"/>
    <w:rsid w:val="000A7950"/>
    <w:rsid w:val="000A7E73"/>
    <w:rsid w:val="000B34D9"/>
    <w:rsid w:val="000B3A1D"/>
    <w:rsid w:val="000B4388"/>
    <w:rsid w:val="000B75F1"/>
    <w:rsid w:val="000B7FC5"/>
    <w:rsid w:val="000C0B75"/>
    <w:rsid w:val="000C1BD2"/>
    <w:rsid w:val="000C23CC"/>
    <w:rsid w:val="000C24E4"/>
    <w:rsid w:val="000C5DBB"/>
    <w:rsid w:val="000C6837"/>
    <w:rsid w:val="000D308C"/>
    <w:rsid w:val="000D3700"/>
    <w:rsid w:val="000D3C2B"/>
    <w:rsid w:val="000D5263"/>
    <w:rsid w:val="000D5FB8"/>
    <w:rsid w:val="000D7043"/>
    <w:rsid w:val="000E1607"/>
    <w:rsid w:val="000E221F"/>
    <w:rsid w:val="000E243E"/>
    <w:rsid w:val="000E2924"/>
    <w:rsid w:val="000E2A11"/>
    <w:rsid w:val="000E3565"/>
    <w:rsid w:val="000E7237"/>
    <w:rsid w:val="000F0FC6"/>
    <w:rsid w:val="000F31CC"/>
    <w:rsid w:val="000F5D38"/>
    <w:rsid w:val="000F60FB"/>
    <w:rsid w:val="000F689B"/>
    <w:rsid w:val="0010163C"/>
    <w:rsid w:val="00102BCF"/>
    <w:rsid w:val="00104E30"/>
    <w:rsid w:val="001059E4"/>
    <w:rsid w:val="0010772A"/>
    <w:rsid w:val="00107A98"/>
    <w:rsid w:val="0011027B"/>
    <w:rsid w:val="0011321C"/>
    <w:rsid w:val="00113793"/>
    <w:rsid w:val="00113D49"/>
    <w:rsid w:val="001149D7"/>
    <w:rsid w:val="00115506"/>
    <w:rsid w:val="00115787"/>
    <w:rsid w:val="00117145"/>
    <w:rsid w:val="001173DE"/>
    <w:rsid w:val="00122406"/>
    <w:rsid w:val="0012517E"/>
    <w:rsid w:val="001253D4"/>
    <w:rsid w:val="001258C3"/>
    <w:rsid w:val="00125A95"/>
    <w:rsid w:val="001264D7"/>
    <w:rsid w:val="0013096F"/>
    <w:rsid w:val="00132F70"/>
    <w:rsid w:val="00135F3A"/>
    <w:rsid w:val="00137256"/>
    <w:rsid w:val="00137BD9"/>
    <w:rsid w:val="00141C34"/>
    <w:rsid w:val="00143FCC"/>
    <w:rsid w:val="001441DE"/>
    <w:rsid w:val="001553CD"/>
    <w:rsid w:val="00160F88"/>
    <w:rsid w:val="0016299B"/>
    <w:rsid w:val="0016458A"/>
    <w:rsid w:val="001662DB"/>
    <w:rsid w:val="00166AC4"/>
    <w:rsid w:val="00167F58"/>
    <w:rsid w:val="00173A38"/>
    <w:rsid w:val="001752F1"/>
    <w:rsid w:val="00175381"/>
    <w:rsid w:val="00175389"/>
    <w:rsid w:val="00175F7D"/>
    <w:rsid w:val="0018070A"/>
    <w:rsid w:val="0019243E"/>
    <w:rsid w:val="001929D3"/>
    <w:rsid w:val="0019360D"/>
    <w:rsid w:val="0019374D"/>
    <w:rsid w:val="00193B65"/>
    <w:rsid w:val="00196AE4"/>
    <w:rsid w:val="001978A1"/>
    <w:rsid w:val="001A0711"/>
    <w:rsid w:val="001A17EC"/>
    <w:rsid w:val="001A19DE"/>
    <w:rsid w:val="001A2EC1"/>
    <w:rsid w:val="001A3B47"/>
    <w:rsid w:val="001A5775"/>
    <w:rsid w:val="001A5BE5"/>
    <w:rsid w:val="001A5E95"/>
    <w:rsid w:val="001A5FCC"/>
    <w:rsid w:val="001B00CC"/>
    <w:rsid w:val="001B201F"/>
    <w:rsid w:val="001B22CE"/>
    <w:rsid w:val="001B2736"/>
    <w:rsid w:val="001B2C25"/>
    <w:rsid w:val="001B4F58"/>
    <w:rsid w:val="001B594C"/>
    <w:rsid w:val="001C0D64"/>
    <w:rsid w:val="001C1973"/>
    <w:rsid w:val="001C5AC3"/>
    <w:rsid w:val="001D438D"/>
    <w:rsid w:val="001D47BE"/>
    <w:rsid w:val="001D49C3"/>
    <w:rsid w:val="001D69B3"/>
    <w:rsid w:val="001E302B"/>
    <w:rsid w:val="001E5892"/>
    <w:rsid w:val="001E6D34"/>
    <w:rsid w:val="001F1A9C"/>
    <w:rsid w:val="001F4BD2"/>
    <w:rsid w:val="001F550E"/>
    <w:rsid w:val="00202CA3"/>
    <w:rsid w:val="00203F8C"/>
    <w:rsid w:val="00205E61"/>
    <w:rsid w:val="00212844"/>
    <w:rsid w:val="00214A2C"/>
    <w:rsid w:val="00214F9E"/>
    <w:rsid w:val="00216208"/>
    <w:rsid w:val="00217CBF"/>
    <w:rsid w:val="002205F4"/>
    <w:rsid w:val="00221F63"/>
    <w:rsid w:val="00224F91"/>
    <w:rsid w:val="00226B27"/>
    <w:rsid w:val="002278AD"/>
    <w:rsid w:val="00230FAF"/>
    <w:rsid w:val="00231F23"/>
    <w:rsid w:val="00233D46"/>
    <w:rsid w:val="00233F68"/>
    <w:rsid w:val="00234DC6"/>
    <w:rsid w:val="00235D72"/>
    <w:rsid w:val="002366C8"/>
    <w:rsid w:val="002372AA"/>
    <w:rsid w:val="00237D1F"/>
    <w:rsid w:val="002408EE"/>
    <w:rsid w:val="00241FBD"/>
    <w:rsid w:val="002442EC"/>
    <w:rsid w:val="00246F05"/>
    <w:rsid w:val="002471EB"/>
    <w:rsid w:val="00253ECD"/>
    <w:rsid w:val="00255652"/>
    <w:rsid w:val="002627B6"/>
    <w:rsid w:val="00263B43"/>
    <w:rsid w:val="00264453"/>
    <w:rsid w:val="0026525D"/>
    <w:rsid w:val="00266D34"/>
    <w:rsid w:val="00267E17"/>
    <w:rsid w:val="002752E6"/>
    <w:rsid w:val="002760FB"/>
    <w:rsid w:val="00276EC6"/>
    <w:rsid w:val="0028203F"/>
    <w:rsid w:val="00286A09"/>
    <w:rsid w:val="00292565"/>
    <w:rsid w:val="00295D62"/>
    <w:rsid w:val="002A206F"/>
    <w:rsid w:val="002A7B51"/>
    <w:rsid w:val="002B0530"/>
    <w:rsid w:val="002B1CFA"/>
    <w:rsid w:val="002B3C50"/>
    <w:rsid w:val="002B5423"/>
    <w:rsid w:val="002B731B"/>
    <w:rsid w:val="002C0C60"/>
    <w:rsid w:val="002C17A7"/>
    <w:rsid w:val="002C4AEB"/>
    <w:rsid w:val="002C6399"/>
    <w:rsid w:val="002C657D"/>
    <w:rsid w:val="002D1B94"/>
    <w:rsid w:val="002D2E9B"/>
    <w:rsid w:val="002D4E5A"/>
    <w:rsid w:val="002D5808"/>
    <w:rsid w:val="002D6A6B"/>
    <w:rsid w:val="002D7772"/>
    <w:rsid w:val="002E15C3"/>
    <w:rsid w:val="002E47D9"/>
    <w:rsid w:val="002E65CE"/>
    <w:rsid w:val="002E732D"/>
    <w:rsid w:val="002F050C"/>
    <w:rsid w:val="002F11EC"/>
    <w:rsid w:val="002F1505"/>
    <w:rsid w:val="002F23A3"/>
    <w:rsid w:val="002F2820"/>
    <w:rsid w:val="002F3902"/>
    <w:rsid w:val="002F50EC"/>
    <w:rsid w:val="002F5E01"/>
    <w:rsid w:val="002F608D"/>
    <w:rsid w:val="00300059"/>
    <w:rsid w:val="00300F78"/>
    <w:rsid w:val="003025AA"/>
    <w:rsid w:val="00304400"/>
    <w:rsid w:val="0030762E"/>
    <w:rsid w:val="003129AA"/>
    <w:rsid w:val="00312C53"/>
    <w:rsid w:val="003133F5"/>
    <w:rsid w:val="00315A2E"/>
    <w:rsid w:val="0031617E"/>
    <w:rsid w:val="003166E9"/>
    <w:rsid w:val="00316ADF"/>
    <w:rsid w:val="00316F98"/>
    <w:rsid w:val="003232AA"/>
    <w:rsid w:val="00326048"/>
    <w:rsid w:val="00327B04"/>
    <w:rsid w:val="00333CCD"/>
    <w:rsid w:val="00335D1C"/>
    <w:rsid w:val="00337BD8"/>
    <w:rsid w:val="00340103"/>
    <w:rsid w:val="00340DB4"/>
    <w:rsid w:val="00341AE2"/>
    <w:rsid w:val="00341C85"/>
    <w:rsid w:val="003426D2"/>
    <w:rsid w:val="00343A0C"/>
    <w:rsid w:val="00344910"/>
    <w:rsid w:val="00345F59"/>
    <w:rsid w:val="00351000"/>
    <w:rsid w:val="00351C10"/>
    <w:rsid w:val="003522FF"/>
    <w:rsid w:val="0035234F"/>
    <w:rsid w:val="00353EE5"/>
    <w:rsid w:val="00362463"/>
    <w:rsid w:val="00362601"/>
    <w:rsid w:val="003660AA"/>
    <w:rsid w:val="00370F20"/>
    <w:rsid w:val="00373C0A"/>
    <w:rsid w:val="0037415A"/>
    <w:rsid w:val="00374AFA"/>
    <w:rsid w:val="00377676"/>
    <w:rsid w:val="00377966"/>
    <w:rsid w:val="00377B10"/>
    <w:rsid w:val="0038106B"/>
    <w:rsid w:val="00391D21"/>
    <w:rsid w:val="003948F5"/>
    <w:rsid w:val="003972D1"/>
    <w:rsid w:val="003A1D76"/>
    <w:rsid w:val="003A3FEF"/>
    <w:rsid w:val="003A5114"/>
    <w:rsid w:val="003A624D"/>
    <w:rsid w:val="003B1B0F"/>
    <w:rsid w:val="003B28AC"/>
    <w:rsid w:val="003B2F76"/>
    <w:rsid w:val="003B3478"/>
    <w:rsid w:val="003B54CB"/>
    <w:rsid w:val="003B72F0"/>
    <w:rsid w:val="003B7848"/>
    <w:rsid w:val="003C3A57"/>
    <w:rsid w:val="003C4CA7"/>
    <w:rsid w:val="003C7364"/>
    <w:rsid w:val="003D4B6E"/>
    <w:rsid w:val="003D5E6F"/>
    <w:rsid w:val="003D68FB"/>
    <w:rsid w:val="003D76A1"/>
    <w:rsid w:val="003D7D75"/>
    <w:rsid w:val="003D7F0B"/>
    <w:rsid w:val="003E235B"/>
    <w:rsid w:val="003E4009"/>
    <w:rsid w:val="003E581C"/>
    <w:rsid w:val="003F103F"/>
    <w:rsid w:val="003F14DA"/>
    <w:rsid w:val="003F2CBA"/>
    <w:rsid w:val="003F3D01"/>
    <w:rsid w:val="003F4354"/>
    <w:rsid w:val="003F4ED4"/>
    <w:rsid w:val="0040126E"/>
    <w:rsid w:val="00401FAC"/>
    <w:rsid w:val="00402BC2"/>
    <w:rsid w:val="0040335C"/>
    <w:rsid w:val="00404069"/>
    <w:rsid w:val="00404854"/>
    <w:rsid w:val="00405DCE"/>
    <w:rsid w:val="00407FC1"/>
    <w:rsid w:val="00410B65"/>
    <w:rsid w:val="00411660"/>
    <w:rsid w:val="0041323F"/>
    <w:rsid w:val="0041454F"/>
    <w:rsid w:val="00420FA9"/>
    <w:rsid w:val="00421BB8"/>
    <w:rsid w:val="004238E8"/>
    <w:rsid w:val="004243AC"/>
    <w:rsid w:val="0043028E"/>
    <w:rsid w:val="0043169D"/>
    <w:rsid w:val="0043228B"/>
    <w:rsid w:val="00432E25"/>
    <w:rsid w:val="004350C9"/>
    <w:rsid w:val="0043747D"/>
    <w:rsid w:val="00437538"/>
    <w:rsid w:val="00441401"/>
    <w:rsid w:val="00441FF8"/>
    <w:rsid w:val="004445CF"/>
    <w:rsid w:val="004450AE"/>
    <w:rsid w:val="00445A5A"/>
    <w:rsid w:val="00447BF1"/>
    <w:rsid w:val="004510DD"/>
    <w:rsid w:val="004541EF"/>
    <w:rsid w:val="00454E53"/>
    <w:rsid w:val="00454E6E"/>
    <w:rsid w:val="00455F07"/>
    <w:rsid w:val="00457A4C"/>
    <w:rsid w:val="00457F9B"/>
    <w:rsid w:val="00462719"/>
    <w:rsid w:val="00462EC7"/>
    <w:rsid w:val="00465FE5"/>
    <w:rsid w:val="00466BD5"/>
    <w:rsid w:val="00471600"/>
    <w:rsid w:val="00473410"/>
    <w:rsid w:val="00474D40"/>
    <w:rsid w:val="00475137"/>
    <w:rsid w:val="004769DB"/>
    <w:rsid w:val="00476D94"/>
    <w:rsid w:val="00480D30"/>
    <w:rsid w:val="00482D8D"/>
    <w:rsid w:val="00484207"/>
    <w:rsid w:val="00484350"/>
    <w:rsid w:val="0048758A"/>
    <w:rsid w:val="00487B8C"/>
    <w:rsid w:val="00490FDA"/>
    <w:rsid w:val="004916F4"/>
    <w:rsid w:val="00491B9A"/>
    <w:rsid w:val="00492C20"/>
    <w:rsid w:val="00493098"/>
    <w:rsid w:val="00493D30"/>
    <w:rsid w:val="0049415A"/>
    <w:rsid w:val="004941F1"/>
    <w:rsid w:val="004A0AB8"/>
    <w:rsid w:val="004A4E03"/>
    <w:rsid w:val="004B0E42"/>
    <w:rsid w:val="004B108A"/>
    <w:rsid w:val="004B4E3A"/>
    <w:rsid w:val="004B72EC"/>
    <w:rsid w:val="004B794C"/>
    <w:rsid w:val="004C08D3"/>
    <w:rsid w:val="004C1D1D"/>
    <w:rsid w:val="004C2AE4"/>
    <w:rsid w:val="004C3B17"/>
    <w:rsid w:val="004C6089"/>
    <w:rsid w:val="004C717B"/>
    <w:rsid w:val="004D0F32"/>
    <w:rsid w:val="004D17A8"/>
    <w:rsid w:val="004D2A73"/>
    <w:rsid w:val="004D2C83"/>
    <w:rsid w:val="004D405A"/>
    <w:rsid w:val="004D417B"/>
    <w:rsid w:val="004D58BB"/>
    <w:rsid w:val="004D65E4"/>
    <w:rsid w:val="004D7BEF"/>
    <w:rsid w:val="004D7CF4"/>
    <w:rsid w:val="004E00FE"/>
    <w:rsid w:val="004E013D"/>
    <w:rsid w:val="004E0562"/>
    <w:rsid w:val="004E127D"/>
    <w:rsid w:val="004E4D92"/>
    <w:rsid w:val="004E5662"/>
    <w:rsid w:val="004F2432"/>
    <w:rsid w:val="004F3CB3"/>
    <w:rsid w:val="004F4482"/>
    <w:rsid w:val="004F58CB"/>
    <w:rsid w:val="004F6E89"/>
    <w:rsid w:val="004F7558"/>
    <w:rsid w:val="00500823"/>
    <w:rsid w:val="00501178"/>
    <w:rsid w:val="00501987"/>
    <w:rsid w:val="00503B22"/>
    <w:rsid w:val="00504AD4"/>
    <w:rsid w:val="00504E46"/>
    <w:rsid w:val="0050535E"/>
    <w:rsid w:val="00506BDB"/>
    <w:rsid w:val="0051566D"/>
    <w:rsid w:val="005156E6"/>
    <w:rsid w:val="00515E59"/>
    <w:rsid w:val="00515F20"/>
    <w:rsid w:val="00517C71"/>
    <w:rsid w:val="00520229"/>
    <w:rsid w:val="005233BA"/>
    <w:rsid w:val="00526913"/>
    <w:rsid w:val="00530FA7"/>
    <w:rsid w:val="0053515F"/>
    <w:rsid w:val="005374FF"/>
    <w:rsid w:val="005424FA"/>
    <w:rsid w:val="005426B5"/>
    <w:rsid w:val="00544C6D"/>
    <w:rsid w:val="00545813"/>
    <w:rsid w:val="00547BC6"/>
    <w:rsid w:val="00550252"/>
    <w:rsid w:val="005504DF"/>
    <w:rsid w:val="005504EB"/>
    <w:rsid w:val="005514B0"/>
    <w:rsid w:val="00553247"/>
    <w:rsid w:val="005537D9"/>
    <w:rsid w:val="00553AC7"/>
    <w:rsid w:val="005568CB"/>
    <w:rsid w:val="0055748D"/>
    <w:rsid w:val="005602BA"/>
    <w:rsid w:val="005608DD"/>
    <w:rsid w:val="00560E08"/>
    <w:rsid w:val="0056111C"/>
    <w:rsid w:val="00561EBF"/>
    <w:rsid w:val="00562C38"/>
    <w:rsid w:val="005631C9"/>
    <w:rsid w:val="0056609A"/>
    <w:rsid w:val="00567213"/>
    <w:rsid w:val="00570177"/>
    <w:rsid w:val="005714E4"/>
    <w:rsid w:val="0057254F"/>
    <w:rsid w:val="005749D5"/>
    <w:rsid w:val="00575172"/>
    <w:rsid w:val="00576C4A"/>
    <w:rsid w:val="00580FBD"/>
    <w:rsid w:val="0058133A"/>
    <w:rsid w:val="0058469D"/>
    <w:rsid w:val="005850C9"/>
    <w:rsid w:val="00585A17"/>
    <w:rsid w:val="00585C08"/>
    <w:rsid w:val="00585F1E"/>
    <w:rsid w:val="0058751B"/>
    <w:rsid w:val="00591323"/>
    <w:rsid w:val="00591A21"/>
    <w:rsid w:val="00596953"/>
    <w:rsid w:val="005A06E7"/>
    <w:rsid w:val="005A0993"/>
    <w:rsid w:val="005A0F37"/>
    <w:rsid w:val="005A1330"/>
    <w:rsid w:val="005A3A90"/>
    <w:rsid w:val="005B66D3"/>
    <w:rsid w:val="005B7B0A"/>
    <w:rsid w:val="005B7EC0"/>
    <w:rsid w:val="005C2561"/>
    <w:rsid w:val="005C7224"/>
    <w:rsid w:val="005D3F45"/>
    <w:rsid w:val="005D5D43"/>
    <w:rsid w:val="005D6D3E"/>
    <w:rsid w:val="005D7F60"/>
    <w:rsid w:val="005E01DE"/>
    <w:rsid w:val="005E10E6"/>
    <w:rsid w:val="005E2D39"/>
    <w:rsid w:val="005E3A55"/>
    <w:rsid w:val="005E3FCE"/>
    <w:rsid w:val="005E513F"/>
    <w:rsid w:val="005E5468"/>
    <w:rsid w:val="005E64C5"/>
    <w:rsid w:val="005F0739"/>
    <w:rsid w:val="005F0918"/>
    <w:rsid w:val="005F1334"/>
    <w:rsid w:val="005F3DB2"/>
    <w:rsid w:val="00600CFB"/>
    <w:rsid w:val="006031DE"/>
    <w:rsid w:val="00606D30"/>
    <w:rsid w:val="0060774E"/>
    <w:rsid w:val="00611259"/>
    <w:rsid w:val="006112D3"/>
    <w:rsid w:val="006113C3"/>
    <w:rsid w:val="00612418"/>
    <w:rsid w:val="00615496"/>
    <w:rsid w:val="00615FAF"/>
    <w:rsid w:val="00616149"/>
    <w:rsid w:val="00617472"/>
    <w:rsid w:val="00617D5F"/>
    <w:rsid w:val="00620334"/>
    <w:rsid w:val="006212E3"/>
    <w:rsid w:val="006226E4"/>
    <w:rsid w:val="00623526"/>
    <w:rsid w:val="00623BCE"/>
    <w:rsid w:val="00627442"/>
    <w:rsid w:val="00631AEF"/>
    <w:rsid w:val="00637452"/>
    <w:rsid w:val="00637F51"/>
    <w:rsid w:val="006455FF"/>
    <w:rsid w:val="00646006"/>
    <w:rsid w:val="00647704"/>
    <w:rsid w:val="00651270"/>
    <w:rsid w:val="00653065"/>
    <w:rsid w:val="0065360B"/>
    <w:rsid w:val="00654678"/>
    <w:rsid w:val="00655870"/>
    <w:rsid w:val="006565AB"/>
    <w:rsid w:val="00656E22"/>
    <w:rsid w:val="00656F1D"/>
    <w:rsid w:val="0066443E"/>
    <w:rsid w:val="0066637E"/>
    <w:rsid w:val="0066767D"/>
    <w:rsid w:val="00670ACB"/>
    <w:rsid w:val="00671459"/>
    <w:rsid w:val="00674502"/>
    <w:rsid w:val="0067744C"/>
    <w:rsid w:val="00685598"/>
    <w:rsid w:val="00686093"/>
    <w:rsid w:val="00687FD1"/>
    <w:rsid w:val="00690433"/>
    <w:rsid w:val="00690827"/>
    <w:rsid w:val="00690D77"/>
    <w:rsid w:val="0069205C"/>
    <w:rsid w:val="00692926"/>
    <w:rsid w:val="00693B57"/>
    <w:rsid w:val="00695287"/>
    <w:rsid w:val="006A0935"/>
    <w:rsid w:val="006A21E8"/>
    <w:rsid w:val="006A3601"/>
    <w:rsid w:val="006A3B4B"/>
    <w:rsid w:val="006A3DD1"/>
    <w:rsid w:val="006A43D9"/>
    <w:rsid w:val="006A6FDB"/>
    <w:rsid w:val="006A7E79"/>
    <w:rsid w:val="006B1692"/>
    <w:rsid w:val="006B33A5"/>
    <w:rsid w:val="006B6818"/>
    <w:rsid w:val="006B7101"/>
    <w:rsid w:val="006C3961"/>
    <w:rsid w:val="006C5507"/>
    <w:rsid w:val="006C5615"/>
    <w:rsid w:val="006C5D2C"/>
    <w:rsid w:val="006C7AA6"/>
    <w:rsid w:val="006D0D7D"/>
    <w:rsid w:val="006D4A2E"/>
    <w:rsid w:val="006D52A4"/>
    <w:rsid w:val="006D791D"/>
    <w:rsid w:val="006E03B4"/>
    <w:rsid w:val="006E08B9"/>
    <w:rsid w:val="006E0F09"/>
    <w:rsid w:val="006E15F9"/>
    <w:rsid w:val="006E33E5"/>
    <w:rsid w:val="006E35D2"/>
    <w:rsid w:val="006E4278"/>
    <w:rsid w:val="006E5910"/>
    <w:rsid w:val="006E7296"/>
    <w:rsid w:val="006F1FF0"/>
    <w:rsid w:val="006F32A4"/>
    <w:rsid w:val="006F3543"/>
    <w:rsid w:val="006F55D7"/>
    <w:rsid w:val="0070022F"/>
    <w:rsid w:val="00700970"/>
    <w:rsid w:val="007030F8"/>
    <w:rsid w:val="00710888"/>
    <w:rsid w:val="00710CA2"/>
    <w:rsid w:val="007113E5"/>
    <w:rsid w:val="00711AEC"/>
    <w:rsid w:val="007126D5"/>
    <w:rsid w:val="0071437F"/>
    <w:rsid w:val="00715855"/>
    <w:rsid w:val="007167DF"/>
    <w:rsid w:val="007208AB"/>
    <w:rsid w:val="007214EE"/>
    <w:rsid w:val="007226F3"/>
    <w:rsid w:val="00723BE8"/>
    <w:rsid w:val="007270F8"/>
    <w:rsid w:val="0072739C"/>
    <w:rsid w:val="0072778F"/>
    <w:rsid w:val="007317C0"/>
    <w:rsid w:val="007349E4"/>
    <w:rsid w:val="00735EE9"/>
    <w:rsid w:val="00740D4D"/>
    <w:rsid w:val="00741793"/>
    <w:rsid w:val="007432F6"/>
    <w:rsid w:val="007440FC"/>
    <w:rsid w:val="00744C9F"/>
    <w:rsid w:val="0074656D"/>
    <w:rsid w:val="007519B2"/>
    <w:rsid w:val="00753042"/>
    <w:rsid w:val="00764EE7"/>
    <w:rsid w:val="0076619C"/>
    <w:rsid w:val="007679D7"/>
    <w:rsid w:val="007711A5"/>
    <w:rsid w:val="007741DB"/>
    <w:rsid w:val="00774E33"/>
    <w:rsid w:val="00776139"/>
    <w:rsid w:val="0077723A"/>
    <w:rsid w:val="007777F2"/>
    <w:rsid w:val="00777C6F"/>
    <w:rsid w:val="0078159D"/>
    <w:rsid w:val="00782673"/>
    <w:rsid w:val="00782865"/>
    <w:rsid w:val="00782F40"/>
    <w:rsid w:val="007907BA"/>
    <w:rsid w:val="007932E7"/>
    <w:rsid w:val="007937DE"/>
    <w:rsid w:val="00794A44"/>
    <w:rsid w:val="007A0717"/>
    <w:rsid w:val="007A114A"/>
    <w:rsid w:val="007A13CF"/>
    <w:rsid w:val="007A1695"/>
    <w:rsid w:val="007A3E4D"/>
    <w:rsid w:val="007A58D9"/>
    <w:rsid w:val="007A7C1F"/>
    <w:rsid w:val="007B13B2"/>
    <w:rsid w:val="007B1CBF"/>
    <w:rsid w:val="007B2BDD"/>
    <w:rsid w:val="007B5F16"/>
    <w:rsid w:val="007B78A3"/>
    <w:rsid w:val="007C0AAE"/>
    <w:rsid w:val="007C1BAF"/>
    <w:rsid w:val="007C2AA3"/>
    <w:rsid w:val="007C6D73"/>
    <w:rsid w:val="007D123F"/>
    <w:rsid w:val="007D1331"/>
    <w:rsid w:val="007D3087"/>
    <w:rsid w:val="007D3193"/>
    <w:rsid w:val="007D33D1"/>
    <w:rsid w:val="007D3CF1"/>
    <w:rsid w:val="007E1A99"/>
    <w:rsid w:val="007E2487"/>
    <w:rsid w:val="007E286F"/>
    <w:rsid w:val="007E48DC"/>
    <w:rsid w:val="007E57CD"/>
    <w:rsid w:val="007E59CC"/>
    <w:rsid w:val="007E605D"/>
    <w:rsid w:val="007E7458"/>
    <w:rsid w:val="007E7B1B"/>
    <w:rsid w:val="007F14ED"/>
    <w:rsid w:val="007F1874"/>
    <w:rsid w:val="007F18E8"/>
    <w:rsid w:val="007F6178"/>
    <w:rsid w:val="007F6457"/>
    <w:rsid w:val="007F6AB3"/>
    <w:rsid w:val="007F7AAC"/>
    <w:rsid w:val="00803153"/>
    <w:rsid w:val="00805E8E"/>
    <w:rsid w:val="0080607E"/>
    <w:rsid w:val="0080745E"/>
    <w:rsid w:val="00811D63"/>
    <w:rsid w:val="00812ECD"/>
    <w:rsid w:val="00815165"/>
    <w:rsid w:val="00817585"/>
    <w:rsid w:val="0081759F"/>
    <w:rsid w:val="0082046F"/>
    <w:rsid w:val="00820D2C"/>
    <w:rsid w:val="00821950"/>
    <w:rsid w:val="00823728"/>
    <w:rsid w:val="008304C9"/>
    <w:rsid w:val="00831530"/>
    <w:rsid w:val="00832D2D"/>
    <w:rsid w:val="00834FFB"/>
    <w:rsid w:val="00836269"/>
    <w:rsid w:val="00837186"/>
    <w:rsid w:val="00837788"/>
    <w:rsid w:val="00842AFE"/>
    <w:rsid w:val="00843111"/>
    <w:rsid w:val="0084319C"/>
    <w:rsid w:val="008440BF"/>
    <w:rsid w:val="00845DF0"/>
    <w:rsid w:val="008532CC"/>
    <w:rsid w:val="00853A57"/>
    <w:rsid w:val="0085485F"/>
    <w:rsid w:val="00854AE7"/>
    <w:rsid w:val="00856FE7"/>
    <w:rsid w:val="008570EC"/>
    <w:rsid w:val="00862726"/>
    <w:rsid w:val="00866B75"/>
    <w:rsid w:val="00870877"/>
    <w:rsid w:val="0087287B"/>
    <w:rsid w:val="008747FC"/>
    <w:rsid w:val="00874998"/>
    <w:rsid w:val="00876DC5"/>
    <w:rsid w:val="00880E00"/>
    <w:rsid w:val="00883EFE"/>
    <w:rsid w:val="008841CC"/>
    <w:rsid w:val="0088492D"/>
    <w:rsid w:val="00890396"/>
    <w:rsid w:val="0089426C"/>
    <w:rsid w:val="00894360"/>
    <w:rsid w:val="00895118"/>
    <w:rsid w:val="008A0EEE"/>
    <w:rsid w:val="008A39D0"/>
    <w:rsid w:val="008A6455"/>
    <w:rsid w:val="008A72DF"/>
    <w:rsid w:val="008A74D0"/>
    <w:rsid w:val="008B04A4"/>
    <w:rsid w:val="008B4374"/>
    <w:rsid w:val="008B4FCE"/>
    <w:rsid w:val="008B5B3C"/>
    <w:rsid w:val="008B5C31"/>
    <w:rsid w:val="008B66E7"/>
    <w:rsid w:val="008B695F"/>
    <w:rsid w:val="008C0917"/>
    <w:rsid w:val="008C3F3E"/>
    <w:rsid w:val="008C43AE"/>
    <w:rsid w:val="008D1CB6"/>
    <w:rsid w:val="008D3DE0"/>
    <w:rsid w:val="008D4D88"/>
    <w:rsid w:val="008D5FA5"/>
    <w:rsid w:val="008D68B3"/>
    <w:rsid w:val="008D7C7D"/>
    <w:rsid w:val="008E2986"/>
    <w:rsid w:val="008E2A9A"/>
    <w:rsid w:val="008E2AE3"/>
    <w:rsid w:val="008E3ECE"/>
    <w:rsid w:val="008E51A4"/>
    <w:rsid w:val="008E54E2"/>
    <w:rsid w:val="008E5D3C"/>
    <w:rsid w:val="008E5E4C"/>
    <w:rsid w:val="008E7FBE"/>
    <w:rsid w:val="008F0E32"/>
    <w:rsid w:val="008F10CB"/>
    <w:rsid w:val="008F1EAF"/>
    <w:rsid w:val="008F7AAE"/>
    <w:rsid w:val="00903991"/>
    <w:rsid w:val="009055C0"/>
    <w:rsid w:val="00905E5B"/>
    <w:rsid w:val="00910EE4"/>
    <w:rsid w:val="009111EC"/>
    <w:rsid w:val="00912AC8"/>
    <w:rsid w:val="00916C5C"/>
    <w:rsid w:val="0092019F"/>
    <w:rsid w:val="0092077F"/>
    <w:rsid w:val="00921422"/>
    <w:rsid w:val="00926232"/>
    <w:rsid w:val="00926AA0"/>
    <w:rsid w:val="00927797"/>
    <w:rsid w:val="0093525F"/>
    <w:rsid w:val="00937945"/>
    <w:rsid w:val="009401A5"/>
    <w:rsid w:val="009411C6"/>
    <w:rsid w:val="009415EB"/>
    <w:rsid w:val="00945A70"/>
    <w:rsid w:val="00947D22"/>
    <w:rsid w:val="009513AD"/>
    <w:rsid w:val="00951F8A"/>
    <w:rsid w:val="00953571"/>
    <w:rsid w:val="0095394F"/>
    <w:rsid w:val="0095467B"/>
    <w:rsid w:val="00955DA2"/>
    <w:rsid w:val="00956060"/>
    <w:rsid w:val="00957C2B"/>
    <w:rsid w:val="00960F53"/>
    <w:rsid w:val="00961499"/>
    <w:rsid w:val="00962DDC"/>
    <w:rsid w:val="00963005"/>
    <w:rsid w:val="009634CA"/>
    <w:rsid w:val="0096367A"/>
    <w:rsid w:val="00964D4A"/>
    <w:rsid w:val="00967765"/>
    <w:rsid w:val="00974C8F"/>
    <w:rsid w:val="00974F42"/>
    <w:rsid w:val="00975FDC"/>
    <w:rsid w:val="009803A0"/>
    <w:rsid w:val="00981D8D"/>
    <w:rsid w:val="00982973"/>
    <w:rsid w:val="00984BE3"/>
    <w:rsid w:val="009869C6"/>
    <w:rsid w:val="009869E6"/>
    <w:rsid w:val="00987605"/>
    <w:rsid w:val="00992146"/>
    <w:rsid w:val="009922E8"/>
    <w:rsid w:val="009924B3"/>
    <w:rsid w:val="009934F8"/>
    <w:rsid w:val="00993AC2"/>
    <w:rsid w:val="00993F74"/>
    <w:rsid w:val="0099523F"/>
    <w:rsid w:val="00995599"/>
    <w:rsid w:val="00996639"/>
    <w:rsid w:val="009A0145"/>
    <w:rsid w:val="009A31B7"/>
    <w:rsid w:val="009A59E1"/>
    <w:rsid w:val="009A63BC"/>
    <w:rsid w:val="009A70D3"/>
    <w:rsid w:val="009A75D2"/>
    <w:rsid w:val="009B1521"/>
    <w:rsid w:val="009B4530"/>
    <w:rsid w:val="009B46FD"/>
    <w:rsid w:val="009C023F"/>
    <w:rsid w:val="009C6EB4"/>
    <w:rsid w:val="009D14FF"/>
    <w:rsid w:val="009D4ECC"/>
    <w:rsid w:val="009D7642"/>
    <w:rsid w:val="009E0FC5"/>
    <w:rsid w:val="009F3D87"/>
    <w:rsid w:val="009F43E8"/>
    <w:rsid w:val="009F46F6"/>
    <w:rsid w:val="009F4BAF"/>
    <w:rsid w:val="009F72FA"/>
    <w:rsid w:val="009F773B"/>
    <w:rsid w:val="00A048F4"/>
    <w:rsid w:val="00A04DB1"/>
    <w:rsid w:val="00A060C4"/>
    <w:rsid w:val="00A07923"/>
    <w:rsid w:val="00A11997"/>
    <w:rsid w:val="00A1372F"/>
    <w:rsid w:val="00A15487"/>
    <w:rsid w:val="00A15C9F"/>
    <w:rsid w:val="00A2202D"/>
    <w:rsid w:val="00A22DA7"/>
    <w:rsid w:val="00A23760"/>
    <w:rsid w:val="00A23EF0"/>
    <w:rsid w:val="00A2434A"/>
    <w:rsid w:val="00A262F0"/>
    <w:rsid w:val="00A327DD"/>
    <w:rsid w:val="00A32FAD"/>
    <w:rsid w:val="00A3379E"/>
    <w:rsid w:val="00A415CE"/>
    <w:rsid w:val="00A46231"/>
    <w:rsid w:val="00A4643E"/>
    <w:rsid w:val="00A5166E"/>
    <w:rsid w:val="00A51B2F"/>
    <w:rsid w:val="00A525AE"/>
    <w:rsid w:val="00A53C3E"/>
    <w:rsid w:val="00A5476D"/>
    <w:rsid w:val="00A56A5E"/>
    <w:rsid w:val="00A56E30"/>
    <w:rsid w:val="00A62B82"/>
    <w:rsid w:val="00A660F4"/>
    <w:rsid w:val="00A66B6A"/>
    <w:rsid w:val="00A70974"/>
    <w:rsid w:val="00A7264E"/>
    <w:rsid w:val="00A728E8"/>
    <w:rsid w:val="00A72A3E"/>
    <w:rsid w:val="00A73C2D"/>
    <w:rsid w:val="00A743EA"/>
    <w:rsid w:val="00A74ED0"/>
    <w:rsid w:val="00A757E3"/>
    <w:rsid w:val="00A77099"/>
    <w:rsid w:val="00A7772F"/>
    <w:rsid w:val="00A8321D"/>
    <w:rsid w:val="00A83CAB"/>
    <w:rsid w:val="00A850E1"/>
    <w:rsid w:val="00A85F8E"/>
    <w:rsid w:val="00A904B4"/>
    <w:rsid w:val="00A90C65"/>
    <w:rsid w:val="00A9525D"/>
    <w:rsid w:val="00A95AF7"/>
    <w:rsid w:val="00AA148C"/>
    <w:rsid w:val="00AA1F9D"/>
    <w:rsid w:val="00AA4781"/>
    <w:rsid w:val="00AA4FB4"/>
    <w:rsid w:val="00AA5071"/>
    <w:rsid w:val="00AA55B3"/>
    <w:rsid w:val="00AA5B8E"/>
    <w:rsid w:val="00AA6B4D"/>
    <w:rsid w:val="00AB202F"/>
    <w:rsid w:val="00AB3753"/>
    <w:rsid w:val="00AB3B4D"/>
    <w:rsid w:val="00AC1D3E"/>
    <w:rsid w:val="00AC293B"/>
    <w:rsid w:val="00AC40B9"/>
    <w:rsid w:val="00AC4148"/>
    <w:rsid w:val="00AC527D"/>
    <w:rsid w:val="00AC53E9"/>
    <w:rsid w:val="00AC597B"/>
    <w:rsid w:val="00AC5BF5"/>
    <w:rsid w:val="00AC602A"/>
    <w:rsid w:val="00AD0749"/>
    <w:rsid w:val="00AD420C"/>
    <w:rsid w:val="00AD6201"/>
    <w:rsid w:val="00AD6CB7"/>
    <w:rsid w:val="00AE40C3"/>
    <w:rsid w:val="00AE7C06"/>
    <w:rsid w:val="00AF12BE"/>
    <w:rsid w:val="00AF1A4F"/>
    <w:rsid w:val="00AF35D7"/>
    <w:rsid w:val="00AF3F77"/>
    <w:rsid w:val="00AF4236"/>
    <w:rsid w:val="00AF5B25"/>
    <w:rsid w:val="00AF7EE6"/>
    <w:rsid w:val="00AF7F30"/>
    <w:rsid w:val="00B011AB"/>
    <w:rsid w:val="00B030E1"/>
    <w:rsid w:val="00B10B84"/>
    <w:rsid w:val="00B12BC4"/>
    <w:rsid w:val="00B13284"/>
    <w:rsid w:val="00B13644"/>
    <w:rsid w:val="00B15666"/>
    <w:rsid w:val="00B174A3"/>
    <w:rsid w:val="00B20321"/>
    <w:rsid w:val="00B205E8"/>
    <w:rsid w:val="00B21E2E"/>
    <w:rsid w:val="00B22B45"/>
    <w:rsid w:val="00B23B9F"/>
    <w:rsid w:val="00B24AA3"/>
    <w:rsid w:val="00B25F6F"/>
    <w:rsid w:val="00B2654E"/>
    <w:rsid w:val="00B26901"/>
    <w:rsid w:val="00B27745"/>
    <w:rsid w:val="00B32157"/>
    <w:rsid w:val="00B326A3"/>
    <w:rsid w:val="00B330C0"/>
    <w:rsid w:val="00B335C8"/>
    <w:rsid w:val="00B36719"/>
    <w:rsid w:val="00B378A9"/>
    <w:rsid w:val="00B4128D"/>
    <w:rsid w:val="00B41501"/>
    <w:rsid w:val="00B41F99"/>
    <w:rsid w:val="00B441E7"/>
    <w:rsid w:val="00B45004"/>
    <w:rsid w:val="00B468AE"/>
    <w:rsid w:val="00B50FE6"/>
    <w:rsid w:val="00B52C7E"/>
    <w:rsid w:val="00B52D74"/>
    <w:rsid w:val="00B53AAA"/>
    <w:rsid w:val="00B60205"/>
    <w:rsid w:val="00B604DE"/>
    <w:rsid w:val="00B6501B"/>
    <w:rsid w:val="00B6537B"/>
    <w:rsid w:val="00B67BBC"/>
    <w:rsid w:val="00B70084"/>
    <w:rsid w:val="00B7050E"/>
    <w:rsid w:val="00B73A55"/>
    <w:rsid w:val="00B778F3"/>
    <w:rsid w:val="00B833B9"/>
    <w:rsid w:val="00B90EE4"/>
    <w:rsid w:val="00B92794"/>
    <w:rsid w:val="00B964C4"/>
    <w:rsid w:val="00BA4A13"/>
    <w:rsid w:val="00BA5289"/>
    <w:rsid w:val="00BA71DD"/>
    <w:rsid w:val="00BB0783"/>
    <w:rsid w:val="00BB0D48"/>
    <w:rsid w:val="00BB3103"/>
    <w:rsid w:val="00BB35A7"/>
    <w:rsid w:val="00BB42D5"/>
    <w:rsid w:val="00BB42E2"/>
    <w:rsid w:val="00BB598B"/>
    <w:rsid w:val="00BC12F0"/>
    <w:rsid w:val="00BC177D"/>
    <w:rsid w:val="00BC1E9D"/>
    <w:rsid w:val="00BC2805"/>
    <w:rsid w:val="00BC5F16"/>
    <w:rsid w:val="00BD04E6"/>
    <w:rsid w:val="00BD2AAE"/>
    <w:rsid w:val="00BD3600"/>
    <w:rsid w:val="00BD4B3D"/>
    <w:rsid w:val="00BD5318"/>
    <w:rsid w:val="00BD597A"/>
    <w:rsid w:val="00BD5F00"/>
    <w:rsid w:val="00BD64BD"/>
    <w:rsid w:val="00BD7268"/>
    <w:rsid w:val="00BD7578"/>
    <w:rsid w:val="00BD7B86"/>
    <w:rsid w:val="00BE15F4"/>
    <w:rsid w:val="00BE201B"/>
    <w:rsid w:val="00BE27FF"/>
    <w:rsid w:val="00BE2904"/>
    <w:rsid w:val="00BE2EC9"/>
    <w:rsid w:val="00BE36AE"/>
    <w:rsid w:val="00BE4354"/>
    <w:rsid w:val="00BE4A82"/>
    <w:rsid w:val="00BE5641"/>
    <w:rsid w:val="00BE6329"/>
    <w:rsid w:val="00BF0B71"/>
    <w:rsid w:val="00BF2A47"/>
    <w:rsid w:val="00BF565A"/>
    <w:rsid w:val="00BF794C"/>
    <w:rsid w:val="00C003F9"/>
    <w:rsid w:val="00C0209F"/>
    <w:rsid w:val="00C06EE5"/>
    <w:rsid w:val="00C077F2"/>
    <w:rsid w:val="00C103CB"/>
    <w:rsid w:val="00C103DF"/>
    <w:rsid w:val="00C111FF"/>
    <w:rsid w:val="00C13A75"/>
    <w:rsid w:val="00C1784A"/>
    <w:rsid w:val="00C17B8F"/>
    <w:rsid w:val="00C17E30"/>
    <w:rsid w:val="00C20922"/>
    <w:rsid w:val="00C21444"/>
    <w:rsid w:val="00C226F6"/>
    <w:rsid w:val="00C2373D"/>
    <w:rsid w:val="00C240CC"/>
    <w:rsid w:val="00C240DD"/>
    <w:rsid w:val="00C307E0"/>
    <w:rsid w:val="00C32957"/>
    <w:rsid w:val="00C33CC5"/>
    <w:rsid w:val="00C33D4A"/>
    <w:rsid w:val="00C33FE8"/>
    <w:rsid w:val="00C35CDC"/>
    <w:rsid w:val="00C37BA7"/>
    <w:rsid w:val="00C421B9"/>
    <w:rsid w:val="00C43A06"/>
    <w:rsid w:val="00C44457"/>
    <w:rsid w:val="00C44E06"/>
    <w:rsid w:val="00C45963"/>
    <w:rsid w:val="00C50362"/>
    <w:rsid w:val="00C5150A"/>
    <w:rsid w:val="00C51821"/>
    <w:rsid w:val="00C51D17"/>
    <w:rsid w:val="00C520E2"/>
    <w:rsid w:val="00C60343"/>
    <w:rsid w:val="00C677E2"/>
    <w:rsid w:val="00C67EE5"/>
    <w:rsid w:val="00C718B2"/>
    <w:rsid w:val="00C750C1"/>
    <w:rsid w:val="00C7555C"/>
    <w:rsid w:val="00C80921"/>
    <w:rsid w:val="00C815FA"/>
    <w:rsid w:val="00C817C7"/>
    <w:rsid w:val="00C81E7B"/>
    <w:rsid w:val="00C843DB"/>
    <w:rsid w:val="00C878D6"/>
    <w:rsid w:val="00C91E8E"/>
    <w:rsid w:val="00C95020"/>
    <w:rsid w:val="00C958DB"/>
    <w:rsid w:val="00C968DE"/>
    <w:rsid w:val="00C97591"/>
    <w:rsid w:val="00CA01B0"/>
    <w:rsid w:val="00CA1B2C"/>
    <w:rsid w:val="00CA4597"/>
    <w:rsid w:val="00CB1AD4"/>
    <w:rsid w:val="00CB3462"/>
    <w:rsid w:val="00CB464E"/>
    <w:rsid w:val="00CB59F9"/>
    <w:rsid w:val="00CC535C"/>
    <w:rsid w:val="00CC5BA8"/>
    <w:rsid w:val="00CC6CCC"/>
    <w:rsid w:val="00CD142B"/>
    <w:rsid w:val="00CD15A0"/>
    <w:rsid w:val="00CD1E6B"/>
    <w:rsid w:val="00CD2222"/>
    <w:rsid w:val="00CD4916"/>
    <w:rsid w:val="00CD505E"/>
    <w:rsid w:val="00CD63FF"/>
    <w:rsid w:val="00CD662F"/>
    <w:rsid w:val="00CE1ABB"/>
    <w:rsid w:val="00CE1B45"/>
    <w:rsid w:val="00CE591B"/>
    <w:rsid w:val="00CE6B95"/>
    <w:rsid w:val="00CF01C3"/>
    <w:rsid w:val="00CF067A"/>
    <w:rsid w:val="00CF25AB"/>
    <w:rsid w:val="00CF42FD"/>
    <w:rsid w:val="00CF5170"/>
    <w:rsid w:val="00CF58D5"/>
    <w:rsid w:val="00CF661A"/>
    <w:rsid w:val="00CF675D"/>
    <w:rsid w:val="00D01F9C"/>
    <w:rsid w:val="00D0202D"/>
    <w:rsid w:val="00D0283F"/>
    <w:rsid w:val="00D0308B"/>
    <w:rsid w:val="00D0527E"/>
    <w:rsid w:val="00D05CB9"/>
    <w:rsid w:val="00D0799B"/>
    <w:rsid w:val="00D10276"/>
    <w:rsid w:val="00D10664"/>
    <w:rsid w:val="00D1340D"/>
    <w:rsid w:val="00D136AE"/>
    <w:rsid w:val="00D165B2"/>
    <w:rsid w:val="00D175B8"/>
    <w:rsid w:val="00D1799C"/>
    <w:rsid w:val="00D20EDB"/>
    <w:rsid w:val="00D2184D"/>
    <w:rsid w:val="00D23DA5"/>
    <w:rsid w:val="00D24666"/>
    <w:rsid w:val="00D24B48"/>
    <w:rsid w:val="00D263AF"/>
    <w:rsid w:val="00D266F5"/>
    <w:rsid w:val="00D27E03"/>
    <w:rsid w:val="00D3003D"/>
    <w:rsid w:val="00D312F8"/>
    <w:rsid w:val="00D31A26"/>
    <w:rsid w:val="00D332F6"/>
    <w:rsid w:val="00D33AB7"/>
    <w:rsid w:val="00D33CF8"/>
    <w:rsid w:val="00D33E20"/>
    <w:rsid w:val="00D33EFC"/>
    <w:rsid w:val="00D353D7"/>
    <w:rsid w:val="00D3773F"/>
    <w:rsid w:val="00D37BED"/>
    <w:rsid w:val="00D42E51"/>
    <w:rsid w:val="00D43428"/>
    <w:rsid w:val="00D447FC"/>
    <w:rsid w:val="00D46807"/>
    <w:rsid w:val="00D5006F"/>
    <w:rsid w:val="00D504EF"/>
    <w:rsid w:val="00D52049"/>
    <w:rsid w:val="00D52775"/>
    <w:rsid w:val="00D5291C"/>
    <w:rsid w:val="00D55616"/>
    <w:rsid w:val="00D5739C"/>
    <w:rsid w:val="00D61853"/>
    <w:rsid w:val="00D666E2"/>
    <w:rsid w:val="00D67299"/>
    <w:rsid w:val="00D7048A"/>
    <w:rsid w:val="00D70589"/>
    <w:rsid w:val="00D70C49"/>
    <w:rsid w:val="00D70E0C"/>
    <w:rsid w:val="00D721B9"/>
    <w:rsid w:val="00D74D5C"/>
    <w:rsid w:val="00D75A47"/>
    <w:rsid w:val="00D764B2"/>
    <w:rsid w:val="00D820FD"/>
    <w:rsid w:val="00D82101"/>
    <w:rsid w:val="00D83838"/>
    <w:rsid w:val="00D83A5F"/>
    <w:rsid w:val="00D83D3A"/>
    <w:rsid w:val="00D86778"/>
    <w:rsid w:val="00D902DC"/>
    <w:rsid w:val="00D90969"/>
    <w:rsid w:val="00D916E5"/>
    <w:rsid w:val="00D92D15"/>
    <w:rsid w:val="00D92D53"/>
    <w:rsid w:val="00D938F3"/>
    <w:rsid w:val="00D9444A"/>
    <w:rsid w:val="00D952F9"/>
    <w:rsid w:val="00D955D1"/>
    <w:rsid w:val="00DA0BA9"/>
    <w:rsid w:val="00DA1DD2"/>
    <w:rsid w:val="00DA36FC"/>
    <w:rsid w:val="00DA5BC8"/>
    <w:rsid w:val="00DA67B2"/>
    <w:rsid w:val="00DA797A"/>
    <w:rsid w:val="00DB1422"/>
    <w:rsid w:val="00DB17B9"/>
    <w:rsid w:val="00DB2164"/>
    <w:rsid w:val="00DB2C3C"/>
    <w:rsid w:val="00DB3333"/>
    <w:rsid w:val="00DB353A"/>
    <w:rsid w:val="00DB3C44"/>
    <w:rsid w:val="00DB4D20"/>
    <w:rsid w:val="00DB6E83"/>
    <w:rsid w:val="00DC4D5E"/>
    <w:rsid w:val="00DC556D"/>
    <w:rsid w:val="00DD03BE"/>
    <w:rsid w:val="00DD5C18"/>
    <w:rsid w:val="00DD71C0"/>
    <w:rsid w:val="00DD7CA7"/>
    <w:rsid w:val="00DE024B"/>
    <w:rsid w:val="00DE1AA8"/>
    <w:rsid w:val="00DE2333"/>
    <w:rsid w:val="00DE4BE9"/>
    <w:rsid w:val="00DE53D8"/>
    <w:rsid w:val="00DE69A2"/>
    <w:rsid w:val="00DF0EF2"/>
    <w:rsid w:val="00DF1140"/>
    <w:rsid w:val="00DF2BE8"/>
    <w:rsid w:val="00DF50CF"/>
    <w:rsid w:val="00DF610A"/>
    <w:rsid w:val="00DF7C6F"/>
    <w:rsid w:val="00E02D5E"/>
    <w:rsid w:val="00E05743"/>
    <w:rsid w:val="00E05777"/>
    <w:rsid w:val="00E06712"/>
    <w:rsid w:val="00E11FE8"/>
    <w:rsid w:val="00E121B1"/>
    <w:rsid w:val="00E12E0C"/>
    <w:rsid w:val="00E13731"/>
    <w:rsid w:val="00E14C08"/>
    <w:rsid w:val="00E15B6D"/>
    <w:rsid w:val="00E15BB6"/>
    <w:rsid w:val="00E15E3A"/>
    <w:rsid w:val="00E20279"/>
    <w:rsid w:val="00E206D7"/>
    <w:rsid w:val="00E221D2"/>
    <w:rsid w:val="00E23BE6"/>
    <w:rsid w:val="00E2569F"/>
    <w:rsid w:val="00E259AE"/>
    <w:rsid w:val="00E2721B"/>
    <w:rsid w:val="00E31ED8"/>
    <w:rsid w:val="00E33281"/>
    <w:rsid w:val="00E342EA"/>
    <w:rsid w:val="00E3555B"/>
    <w:rsid w:val="00E36450"/>
    <w:rsid w:val="00E40A2A"/>
    <w:rsid w:val="00E427D5"/>
    <w:rsid w:val="00E436A9"/>
    <w:rsid w:val="00E43A33"/>
    <w:rsid w:val="00E44BC2"/>
    <w:rsid w:val="00E45619"/>
    <w:rsid w:val="00E47AA3"/>
    <w:rsid w:val="00E503C7"/>
    <w:rsid w:val="00E50790"/>
    <w:rsid w:val="00E5341B"/>
    <w:rsid w:val="00E5393B"/>
    <w:rsid w:val="00E60103"/>
    <w:rsid w:val="00E6216F"/>
    <w:rsid w:val="00E6262F"/>
    <w:rsid w:val="00E67792"/>
    <w:rsid w:val="00E67B3A"/>
    <w:rsid w:val="00E7191B"/>
    <w:rsid w:val="00E7226C"/>
    <w:rsid w:val="00E72F57"/>
    <w:rsid w:val="00E7627E"/>
    <w:rsid w:val="00E7752A"/>
    <w:rsid w:val="00E8223A"/>
    <w:rsid w:val="00E844F6"/>
    <w:rsid w:val="00E8473C"/>
    <w:rsid w:val="00E86E94"/>
    <w:rsid w:val="00E916D4"/>
    <w:rsid w:val="00E9255B"/>
    <w:rsid w:val="00E93B02"/>
    <w:rsid w:val="00E9501E"/>
    <w:rsid w:val="00E968ED"/>
    <w:rsid w:val="00EA0723"/>
    <w:rsid w:val="00EA2D9C"/>
    <w:rsid w:val="00EA3779"/>
    <w:rsid w:val="00EA3C9A"/>
    <w:rsid w:val="00EA47CB"/>
    <w:rsid w:val="00EB0677"/>
    <w:rsid w:val="00EB248D"/>
    <w:rsid w:val="00EB2F74"/>
    <w:rsid w:val="00EB493B"/>
    <w:rsid w:val="00EB4EA0"/>
    <w:rsid w:val="00EB5B1E"/>
    <w:rsid w:val="00EB6DBF"/>
    <w:rsid w:val="00EC2177"/>
    <w:rsid w:val="00EC3791"/>
    <w:rsid w:val="00EC6FCE"/>
    <w:rsid w:val="00ED1D42"/>
    <w:rsid w:val="00ED663C"/>
    <w:rsid w:val="00EE0079"/>
    <w:rsid w:val="00EE025A"/>
    <w:rsid w:val="00EE0ECD"/>
    <w:rsid w:val="00EE17B1"/>
    <w:rsid w:val="00EE3822"/>
    <w:rsid w:val="00EE38D5"/>
    <w:rsid w:val="00EE44AF"/>
    <w:rsid w:val="00EE7A37"/>
    <w:rsid w:val="00EE7F2E"/>
    <w:rsid w:val="00EF0CCA"/>
    <w:rsid w:val="00EF4EBE"/>
    <w:rsid w:val="00EF602E"/>
    <w:rsid w:val="00EF6CDD"/>
    <w:rsid w:val="00F01D0C"/>
    <w:rsid w:val="00F02187"/>
    <w:rsid w:val="00F02CAF"/>
    <w:rsid w:val="00F058E3"/>
    <w:rsid w:val="00F0595C"/>
    <w:rsid w:val="00F06602"/>
    <w:rsid w:val="00F07F4A"/>
    <w:rsid w:val="00F102D8"/>
    <w:rsid w:val="00F10661"/>
    <w:rsid w:val="00F112D6"/>
    <w:rsid w:val="00F12EDD"/>
    <w:rsid w:val="00F147B8"/>
    <w:rsid w:val="00F169D5"/>
    <w:rsid w:val="00F23E6E"/>
    <w:rsid w:val="00F271E9"/>
    <w:rsid w:val="00F2772D"/>
    <w:rsid w:val="00F27917"/>
    <w:rsid w:val="00F30C9D"/>
    <w:rsid w:val="00F31688"/>
    <w:rsid w:val="00F3469A"/>
    <w:rsid w:val="00F3624D"/>
    <w:rsid w:val="00F37CA3"/>
    <w:rsid w:val="00F40143"/>
    <w:rsid w:val="00F40483"/>
    <w:rsid w:val="00F41029"/>
    <w:rsid w:val="00F42931"/>
    <w:rsid w:val="00F4658C"/>
    <w:rsid w:val="00F50390"/>
    <w:rsid w:val="00F506C8"/>
    <w:rsid w:val="00F50C14"/>
    <w:rsid w:val="00F50F39"/>
    <w:rsid w:val="00F51E1C"/>
    <w:rsid w:val="00F522BB"/>
    <w:rsid w:val="00F54F82"/>
    <w:rsid w:val="00F5503B"/>
    <w:rsid w:val="00F61DB9"/>
    <w:rsid w:val="00F6369A"/>
    <w:rsid w:val="00F64C6F"/>
    <w:rsid w:val="00F664ED"/>
    <w:rsid w:val="00F73588"/>
    <w:rsid w:val="00F73DB8"/>
    <w:rsid w:val="00F7774B"/>
    <w:rsid w:val="00F77A49"/>
    <w:rsid w:val="00F870A2"/>
    <w:rsid w:val="00F87811"/>
    <w:rsid w:val="00F90CA8"/>
    <w:rsid w:val="00F93449"/>
    <w:rsid w:val="00F940A8"/>
    <w:rsid w:val="00F94167"/>
    <w:rsid w:val="00F9516E"/>
    <w:rsid w:val="00FA36B8"/>
    <w:rsid w:val="00FA5FC2"/>
    <w:rsid w:val="00FA6287"/>
    <w:rsid w:val="00FA7A13"/>
    <w:rsid w:val="00FB3D51"/>
    <w:rsid w:val="00FB46F3"/>
    <w:rsid w:val="00FB487C"/>
    <w:rsid w:val="00FC03B6"/>
    <w:rsid w:val="00FC1EC5"/>
    <w:rsid w:val="00FC2943"/>
    <w:rsid w:val="00FC42F0"/>
    <w:rsid w:val="00FD11B0"/>
    <w:rsid w:val="00FD1C55"/>
    <w:rsid w:val="00FD58DE"/>
    <w:rsid w:val="00FD5BE8"/>
    <w:rsid w:val="00FD658F"/>
    <w:rsid w:val="00FD667A"/>
    <w:rsid w:val="00FD7C85"/>
    <w:rsid w:val="00FE02AA"/>
    <w:rsid w:val="00FE0DBB"/>
    <w:rsid w:val="00FE1810"/>
    <w:rsid w:val="00FE2557"/>
    <w:rsid w:val="00FE2C07"/>
    <w:rsid w:val="00FE58FD"/>
    <w:rsid w:val="00FE7B16"/>
    <w:rsid w:val="00FF22C2"/>
    <w:rsid w:val="00FF2DAF"/>
    <w:rsid w:val="00FF2F2D"/>
    <w:rsid w:val="00FF3256"/>
    <w:rsid w:val="00FF4937"/>
    <w:rsid w:val="00FF4CD4"/>
    <w:rsid w:val="00FF4D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D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36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3644"/>
    <w:rPr>
      <w:sz w:val="18"/>
      <w:szCs w:val="18"/>
    </w:rPr>
  </w:style>
  <w:style w:type="paragraph" w:styleId="a4">
    <w:name w:val="footer"/>
    <w:basedOn w:val="a"/>
    <w:link w:val="Char0"/>
    <w:uiPriority w:val="99"/>
    <w:unhideWhenUsed/>
    <w:rsid w:val="00B13644"/>
    <w:pPr>
      <w:tabs>
        <w:tab w:val="center" w:pos="4153"/>
        <w:tab w:val="right" w:pos="8306"/>
      </w:tabs>
      <w:snapToGrid w:val="0"/>
      <w:jc w:val="left"/>
    </w:pPr>
    <w:rPr>
      <w:sz w:val="18"/>
      <w:szCs w:val="18"/>
    </w:rPr>
  </w:style>
  <w:style w:type="character" w:customStyle="1" w:styleId="Char0">
    <w:name w:val="页脚 Char"/>
    <w:basedOn w:val="a0"/>
    <w:link w:val="a4"/>
    <w:uiPriority w:val="99"/>
    <w:rsid w:val="00B13644"/>
    <w:rPr>
      <w:sz w:val="18"/>
      <w:szCs w:val="18"/>
    </w:rPr>
  </w:style>
  <w:style w:type="paragraph" w:styleId="a5">
    <w:name w:val="Balloon Text"/>
    <w:basedOn w:val="a"/>
    <w:link w:val="Char1"/>
    <w:uiPriority w:val="99"/>
    <w:semiHidden/>
    <w:unhideWhenUsed/>
    <w:rsid w:val="00753042"/>
    <w:rPr>
      <w:sz w:val="18"/>
      <w:szCs w:val="18"/>
    </w:rPr>
  </w:style>
  <w:style w:type="character" w:customStyle="1" w:styleId="Char1">
    <w:name w:val="批注框文本 Char"/>
    <w:basedOn w:val="a0"/>
    <w:link w:val="a5"/>
    <w:uiPriority w:val="99"/>
    <w:semiHidden/>
    <w:rsid w:val="00753042"/>
    <w:rPr>
      <w:sz w:val="18"/>
      <w:szCs w:val="18"/>
    </w:rPr>
  </w:style>
  <w:style w:type="character" w:styleId="a6">
    <w:name w:val="Strong"/>
    <w:basedOn w:val="a0"/>
    <w:uiPriority w:val="22"/>
    <w:qFormat/>
    <w:rsid w:val="00405DCE"/>
    <w:rPr>
      <w:b/>
      <w:bCs/>
    </w:rPr>
  </w:style>
  <w:style w:type="paragraph" w:customStyle="1" w:styleId="Default">
    <w:name w:val="Default"/>
    <w:rsid w:val="00FF2DAF"/>
    <w:pPr>
      <w:widowControl w:val="0"/>
      <w:autoSpaceDE w:val="0"/>
      <w:autoSpaceDN w:val="0"/>
      <w:adjustRightInd w:val="0"/>
    </w:pPr>
    <w:rPr>
      <w:rFonts w:ascii="Times New Roman" w:hAnsi="Times New Roman" w:cs="Times New Roman"/>
      <w:color w:val="000000"/>
      <w:kern w:val="0"/>
      <w:sz w:val="24"/>
      <w:szCs w:val="24"/>
    </w:rPr>
  </w:style>
  <w:style w:type="character" w:styleId="a7">
    <w:name w:val="Emphasis"/>
    <w:basedOn w:val="a0"/>
    <w:uiPriority w:val="20"/>
    <w:qFormat/>
    <w:rsid w:val="00651270"/>
    <w:rPr>
      <w:i w:val="0"/>
      <w:iCs w:val="0"/>
      <w:color w:val="CC0000"/>
    </w:rPr>
  </w:style>
  <w:style w:type="character" w:styleId="a8">
    <w:name w:val="Hyperlink"/>
    <w:basedOn w:val="a0"/>
    <w:uiPriority w:val="99"/>
    <w:unhideWhenUsed/>
    <w:rsid w:val="007F18E8"/>
    <w:rPr>
      <w:color w:val="0000FF"/>
      <w:u w:val="single"/>
    </w:rPr>
  </w:style>
  <w:style w:type="character" w:styleId="a9">
    <w:name w:val="FollowedHyperlink"/>
    <w:basedOn w:val="a0"/>
    <w:uiPriority w:val="99"/>
    <w:semiHidden/>
    <w:unhideWhenUsed/>
    <w:rsid w:val="00B41F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5652742">
      <w:bodyDiv w:val="1"/>
      <w:marLeft w:val="0"/>
      <w:marRight w:val="0"/>
      <w:marTop w:val="0"/>
      <w:marBottom w:val="0"/>
      <w:divBdr>
        <w:top w:val="none" w:sz="0" w:space="0" w:color="auto"/>
        <w:left w:val="none" w:sz="0" w:space="0" w:color="auto"/>
        <w:bottom w:val="none" w:sz="0" w:space="0" w:color="auto"/>
        <w:right w:val="none" w:sz="0" w:space="0" w:color="auto"/>
      </w:divBdr>
    </w:div>
    <w:div w:id="849224150">
      <w:bodyDiv w:val="1"/>
      <w:marLeft w:val="0"/>
      <w:marRight w:val="0"/>
      <w:marTop w:val="0"/>
      <w:marBottom w:val="0"/>
      <w:divBdr>
        <w:top w:val="none" w:sz="0" w:space="0" w:color="auto"/>
        <w:left w:val="none" w:sz="0" w:space="0" w:color="auto"/>
        <w:bottom w:val="none" w:sz="0" w:space="0" w:color="auto"/>
        <w:right w:val="none" w:sz="0" w:space="0" w:color="auto"/>
      </w:divBdr>
    </w:div>
    <w:div w:id="901217858">
      <w:bodyDiv w:val="1"/>
      <w:marLeft w:val="0"/>
      <w:marRight w:val="0"/>
      <w:marTop w:val="0"/>
      <w:marBottom w:val="0"/>
      <w:divBdr>
        <w:top w:val="none" w:sz="0" w:space="0" w:color="auto"/>
        <w:left w:val="none" w:sz="0" w:space="0" w:color="auto"/>
        <w:bottom w:val="none" w:sz="0" w:space="0" w:color="auto"/>
        <w:right w:val="none" w:sz="0" w:space="0" w:color="auto"/>
      </w:divBdr>
      <w:divsChild>
        <w:div w:id="1627421022">
          <w:marLeft w:val="0"/>
          <w:marRight w:val="0"/>
          <w:marTop w:val="0"/>
          <w:marBottom w:val="0"/>
          <w:divBdr>
            <w:top w:val="none" w:sz="0" w:space="0" w:color="auto"/>
            <w:left w:val="none" w:sz="0" w:space="0" w:color="auto"/>
            <w:bottom w:val="none" w:sz="0" w:space="0" w:color="auto"/>
            <w:right w:val="none" w:sz="0" w:space="0" w:color="auto"/>
          </w:divBdr>
          <w:divsChild>
            <w:div w:id="513962425">
              <w:marLeft w:val="0"/>
              <w:marRight w:val="0"/>
              <w:marTop w:val="0"/>
              <w:marBottom w:val="0"/>
              <w:divBdr>
                <w:top w:val="none" w:sz="0" w:space="0" w:color="auto"/>
                <w:left w:val="none" w:sz="0" w:space="0" w:color="auto"/>
                <w:bottom w:val="none" w:sz="0" w:space="0" w:color="auto"/>
                <w:right w:val="none" w:sz="0" w:space="0" w:color="auto"/>
              </w:divBdr>
              <w:divsChild>
                <w:div w:id="593368189">
                  <w:marLeft w:val="0"/>
                  <w:marRight w:val="0"/>
                  <w:marTop w:val="0"/>
                  <w:marBottom w:val="0"/>
                  <w:divBdr>
                    <w:top w:val="none" w:sz="0" w:space="0" w:color="auto"/>
                    <w:left w:val="none" w:sz="0" w:space="0" w:color="auto"/>
                    <w:bottom w:val="none" w:sz="0" w:space="0" w:color="auto"/>
                    <w:right w:val="none" w:sz="0" w:space="0" w:color="auto"/>
                  </w:divBdr>
                  <w:divsChild>
                    <w:div w:id="142052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884854">
      <w:bodyDiv w:val="1"/>
      <w:marLeft w:val="0"/>
      <w:marRight w:val="0"/>
      <w:marTop w:val="0"/>
      <w:marBottom w:val="0"/>
      <w:divBdr>
        <w:top w:val="none" w:sz="0" w:space="0" w:color="auto"/>
        <w:left w:val="none" w:sz="0" w:space="0" w:color="auto"/>
        <w:bottom w:val="none" w:sz="0" w:space="0" w:color="auto"/>
        <w:right w:val="none" w:sz="0" w:space="0" w:color="auto"/>
      </w:divBdr>
      <w:divsChild>
        <w:div w:id="1892615023">
          <w:marLeft w:val="0"/>
          <w:marRight w:val="0"/>
          <w:marTop w:val="0"/>
          <w:marBottom w:val="0"/>
          <w:divBdr>
            <w:top w:val="none" w:sz="0" w:space="0" w:color="auto"/>
            <w:left w:val="none" w:sz="0" w:space="0" w:color="auto"/>
            <w:bottom w:val="none" w:sz="0" w:space="0" w:color="auto"/>
            <w:right w:val="none" w:sz="0" w:space="0" w:color="auto"/>
          </w:divBdr>
        </w:div>
      </w:divsChild>
    </w:div>
    <w:div w:id="1369992586">
      <w:bodyDiv w:val="1"/>
      <w:marLeft w:val="0"/>
      <w:marRight w:val="0"/>
      <w:marTop w:val="0"/>
      <w:marBottom w:val="0"/>
      <w:divBdr>
        <w:top w:val="none" w:sz="0" w:space="0" w:color="auto"/>
        <w:left w:val="none" w:sz="0" w:space="0" w:color="auto"/>
        <w:bottom w:val="none" w:sz="0" w:space="0" w:color="auto"/>
        <w:right w:val="none" w:sz="0" w:space="0" w:color="auto"/>
      </w:divBdr>
      <w:divsChild>
        <w:div w:id="1568875341">
          <w:marLeft w:val="0"/>
          <w:marRight w:val="0"/>
          <w:marTop w:val="0"/>
          <w:marBottom w:val="0"/>
          <w:divBdr>
            <w:top w:val="none" w:sz="0" w:space="0" w:color="auto"/>
            <w:left w:val="none" w:sz="0" w:space="0" w:color="auto"/>
            <w:bottom w:val="none" w:sz="0" w:space="0" w:color="auto"/>
            <w:right w:val="none" w:sz="0" w:space="0" w:color="auto"/>
          </w:divBdr>
        </w:div>
      </w:divsChild>
    </w:div>
    <w:div w:id="1454054895">
      <w:bodyDiv w:val="1"/>
      <w:marLeft w:val="0"/>
      <w:marRight w:val="0"/>
      <w:marTop w:val="0"/>
      <w:marBottom w:val="0"/>
      <w:divBdr>
        <w:top w:val="none" w:sz="0" w:space="0" w:color="auto"/>
        <w:left w:val="none" w:sz="0" w:space="0" w:color="auto"/>
        <w:bottom w:val="none" w:sz="0" w:space="0" w:color="auto"/>
        <w:right w:val="none" w:sz="0" w:space="0" w:color="auto"/>
      </w:divBdr>
    </w:div>
    <w:div w:id="1821732106">
      <w:bodyDiv w:val="1"/>
      <w:marLeft w:val="0"/>
      <w:marRight w:val="0"/>
      <w:marTop w:val="0"/>
      <w:marBottom w:val="0"/>
      <w:divBdr>
        <w:top w:val="none" w:sz="0" w:space="0" w:color="auto"/>
        <w:left w:val="none" w:sz="0" w:space="0" w:color="auto"/>
        <w:bottom w:val="none" w:sz="0" w:space="0" w:color="auto"/>
        <w:right w:val="none" w:sz="0" w:space="0" w:color="auto"/>
      </w:divBdr>
      <w:divsChild>
        <w:div w:id="1442842357">
          <w:marLeft w:val="0"/>
          <w:marRight w:val="0"/>
          <w:marTop w:val="0"/>
          <w:marBottom w:val="0"/>
          <w:divBdr>
            <w:top w:val="none" w:sz="0" w:space="0" w:color="auto"/>
            <w:left w:val="none" w:sz="0" w:space="0" w:color="auto"/>
            <w:bottom w:val="none" w:sz="0" w:space="0" w:color="auto"/>
            <w:right w:val="none" w:sz="0" w:space="0" w:color="auto"/>
          </w:divBdr>
        </w:div>
      </w:divsChild>
    </w:div>
    <w:div w:id="20198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A1E41-C48E-43F1-954A-8E625CCB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462</Words>
  <Characters>2636</Characters>
  <Application>Microsoft Office Word</Application>
  <DocSecurity>0</DocSecurity>
  <Lines>21</Lines>
  <Paragraphs>6</Paragraphs>
  <ScaleCrop>false</ScaleCrop>
  <Company>Hfzq LTD.</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陈晖</dc:creator>
  <cp:lastModifiedBy>林娱庭</cp:lastModifiedBy>
  <cp:revision>57</cp:revision>
  <dcterms:created xsi:type="dcterms:W3CDTF">2017-08-29T01:52:00Z</dcterms:created>
  <dcterms:modified xsi:type="dcterms:W3CDTF">2017-12-15T12:34:00Z</dcterms:modified>
</cp:coreProperties>
</file>