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C6" w:rsidRPr="0086291E" w:rsidRDefault="0086291E" w:rsidP="0086291E">
      <w:pPr>
        <w:spacing w:line="360" w:lineRule="auto"/>
        <w:jc w:val="center"/>
        <w:rPr>
          <w:rFonts w:ascii="黑体" w:eastAsia="黑体" w:hAnsi="黑体"/>
          <w:szCs w:val="21"/>
        </w:rPr>
      </w:pPr>
      <w:r w:rsidRPr="0086291E">
        <w:rPr>
          <w:rFonts w:ascii="黑体" w:eastAsia="黑体" w:hAnsi="黑体" w:hint="eastAsia"/>
          <w:sz w:val="32"/>
          <w:szCs w:val="32"/>
        </w:rPr>
        <w:t>兴银基金</w:t>
      </w:r>
      <w:r w:rsidR="000D55C1">
        <w:rPr>
          <w:rFonts w:ascii="黑体" w:eastAsia="黑体" w:hAnsi="黑体" w:hint="eastAsia"/>
          <w:sz w:val="32"/>
          <w:szCs w:val="32"/>
        </w:rPr>
        <w:t>固收</w:t>
      </w:r>
      <w:r w:rsidRPr="0086291E">
        <w:rPr>
          <w:rFonts w:ascii="黑体" w:eastAsia="黑体" w:hAnsi="黑体" w:hint="eastAsia"/>
          <w:sz w:val="32"/>
          <w:szCs w:val="32"/>
        </w:rPr>
        <w:t>周报（2017.11.27-2017.12.1）</w:t>
      </w:r>
    </w:p>
    <w:p w:rsidR="0086291E" w:rsidRDefault="0086291E" w:rsidP="0095467B">
      <w:pPr>
        <w:spacing w:line="360" w:lineRule="auto"/>
        <w:rPr>
          <w:rFonts w:ascii="仿宋" w:eastAsia="仿宋" w:hAnsi="仿宋"/>
          <w:b/>
          <w:szCs w:val="21"/>
        </w:rPr>
      </w:pPr>
    </w:p>
    <w:p w:rsidR="00503B22" w:rsidRPr="006C7DDA" w:rsidRDefault="00811D63" w:rsidP="006C7DDA">
      <w:pPr>
        <w:spacing w:line="360" w:lineRule="auto"/>
        <w:ind w:firstLineChars="196" w:firstLine="413"/>
        <w:rPr>
          <w:rFonts w:asciiTheme="minorEastAsia" w:hAnsiTheme="minorEastAsia"/>
          <w:b/>
          <w:szCs w:val="21"/>
        </w:rPr>
      </w:pPr>
      <w:r w:rsidRPr="006C7DDA">
        <w:rPr>
          <w:rFonts w:asciiTheme="minorEastAsia" w:hAnsiTheme="minorEastAsia" w:hint="eastAsia"/>
          <w:b/>
          <w:szCs w:val="21"/>
        </w:rPr>
        <w:t>摘要：</w:t>
      </w:r>
      <w:r w:rsidR="00491B9A" w:rsidRPr="006C7DDA">
        <w:rPr>
          <w:rFonts w:asciiTheme="minorEastAsia" w:hAnsiTheme="minorEastAsia" w:hint="eastAsia"/>
          <w:b/>
          <w:szCs w:val="21"/>
        </w:rPr>
        <w:t>宏观面：</w:t>
      </w:r>
      <w:r w:rsidR="007F6457" w:rsidRPr="006C7DDA">
        <w:rPr>
          <w:rFonts w:asciiTheme="minorEastAsia" w:hAnsiTheme="minorEastAsia" w:hint="eastAsia"/>
          <w:b/>
          <w:szCs w:val="21"/>
        </w:rPr>
        <w:t>国际方面,</w:t>
      </w:r>
      <w:r w:rsidR="007F6457" w:rsidRPr="006C7DDA">
        <w:rPr>
          <w:rFonts w:asciiTheme="minorEastAsia" w:hAnsiTheme="minorEastAsia" w:hint="eastAsia"/>
          <w:b/>
          <w:bCs/>
          <w:szCs w:val="21"/>
        </w:rPr>
        <w:t xml:space="preserve"> 美国参议院通过税改法案、希腊和欧元区债权人达成初步协议、英国承诺维持爱尔兰与北爱现行监管</w:t>
      </w:r>
      <w:r w:rsidR="007F6457" w:rsidRPr="006C7DDA">
        <w:rPr>
          <w:rFonts w:asciiTheme="minorEastAsia" w:hAnsiTheme="minorEastAsia" w:hint="eastAsia"/>
          <w:b/>
          <w:szCs w:val="21"/>
        </w:rPr>
        <w:t>；国内方面，</w:t>
      </w:r>
      <w:r w:rsidR="00B70084" w:rsidRPr="006C7DDA">
        <w:rPr>
          <w:rFonts w:asciiTheme="minorEastAsia" w:hAnsiTheme="minorEastAsia" w:hint="eastAsia"/>
          <w:b/>
          <w:szCs w:val="21"/>
        </w:rPr>
        <w:t>本周资金面较为宽松，日间银行隔夜融出较为充裕，跨月资金价格逐日降低，月末资金面情况与以往月末情况略有不同，或因银行为准备跨年资金加大负债吸收力度及国开债停发后造成的短期流动性宽松，年末资金面情况仍需谨慎</w:t>
      </w:r>
      <w:r w:rsidR="00E23BE6" w:rsidRPr="006C7DDA">
        <w:rPr>
          <w:rFonts w:asciiTheme="minorEastAsia" w:hAnsiTheme="minorEastAsia" w:hint="eastAsia"/>
          <w:b/>
          <w:szCs w:val="21"/>
        </w:rPr>
        <w:t>。</w:t>
      </w:r>
      <w:r w:rsidR="0053515F" w:rsidRPr="006C7DDA">
        <w:rPr>
          <w:rFonts w:asciiTheme="minorEastAsia" w:hAnsiTheme="minorEastAsia" w:hint="eastAsia"/>
          <w:b/>
          <w:szCs w:val="21"/>
        </w:rPr>
        <w:t>公司观点</w:t>
      </w:r>
      <w:r w:rsidRPr="006C7DDA">
        <w:rPr>
          <w:rFonts w:asciiTheme="minorEastAsia" w:hAnsiTheme="minorEastAsia" w:hint="eastAsia"/>
          <w:b/>
          <w:szCs w:val="21"/>
        </w:rPr>
        <w:t>：</w:t>
      </w:r>
      <w:r w:rsidR="00CF01C3" w:rsidRPr="006C7DDA">
        <w:rPr>
          <w:rFonts w:asciiTheme="minorEastAsia" w:hAnsiTheme="minorEastAsia" w:hint="eastAsia"/>
          <w:b/>
          <w:szCs w:val="21"/>
        </w:rPr>
        <w:t>继续</w:t>
      </w:r>
      <w:r w:rsidR="00503B22" w:rsidRPr="006C7DDA">
        <w:rPr>
          <w:rFonts w:asciiTheme="minorEastAsia" w:hAnsiTheme="minorEastAsia" w:hint="eastAsia"/>
          <w:b/>
          <w:szCs w:val="21"/>
        </w:rPr>
        <w:t>建议</w:t>
      </w:r>
      <w:r w:rsidR="00C60343" w:rsidRPr="006C7DDA">
        <w:rPr>
          <w:rFonts w:asciiTheme="minorEastAsia" w:hAnsiTheme="minorEastAsia" w:hint="eastAsia"/>
          <w:b/>
          <w:szCs w:val="21"/>
        </w:rPr>
        <w:t>中</w:t>
      </w:r>
      <w:r w:rsidR="00503B22" w:rsidRPr="006C7DDA">
        <w:rPr>
          <w:rFonts w:asciiTheme="minorEastAsia" w:hAnsiTheme="minorEastAsia" w:hint="eastAsia"/>
          <w:b/>
          <w:szCs w:val="21"/>
        </w:rPr>
        <w:t>短</w:t>
      </w:r>
      <w:r w:rsidR="00503B22" w:rsidRPr="006C7DDA">
        <w:rPr>
          <w:rFonts w:asciiTheme="minorEastAsia" w:hAnsiTheme="minorEastAsia"/>
          <w:b/>
          <w:szCs w:val="21"/>
        </w:rPr>
        <w:t>久期和</w:t>
      </w:r>
      <w:r w:rsidR="00E6262F" w:rsidRPr="006C7DDA">
        <w:rPr>
          <w:rFonts w:asciiTheme="minorEastAsia" w:hAnsiTheme="minorEastAsia" w:hint="eastAsia"/>
          <w:b/>
          <w:szCs w:val="21"/>
        </w:rPr>
        <w:t>适中</w:t>
      </w:r>
      <w:r w:rsidR="00503B22" w:rsidRPr="006C7DDA">
        <w:rPr>
          <w:rFonts w:asciiTheme="minorEastAsia" w:hAnsiTheme="minorEastAsia"/>
          <w:b/>
          <w:szCs w:val="21"/>
        </w:rPr>
        <w:t>杠杆水平</w:t>
      </w:r>
      <w:r w:rsidR="00C60343" w:rsidRPr="006C7DDA">
        <w:rPr>
          <w:rFonts w:asciiTheme="minorEastAsia" w:hAnsiTheme="minorEastAsia" w:hint="eastAsia"/>
          <w:b/>
          <w:szCs w:val="21"/>
        </w:rPr>
        <w:t>。</w:t>
      </w:r>
    </w:p>
    <w:p w:rsidR="00276EC6" w:rsidRDefault="00276EC6" w:rsidP="00276EC6">
      <w:pPr>
        <w:shd w:val="clear" w:color="auto" w:fill="FFFFFF"/>
        <w:spacing w:after="82" w:line="360" w:lineRule="auto"/>
        <w:outlineLvl w:val="1"/>
        <w:rPr>
          <w:rFonts w:ascii="仿宋" w:eastAsia="仿宋" w:hAnsi="仿宋"/>
          <w:b/>
          <w:szCs w:val="21"/>
        </w:rPr>
      </w:pPr>
    </w:p>
    <w:p w:rsidR="00E7752A" w:rsidRPr="006C7DDA" w:rsidRDefault="00E7752A" w:rsidP="006C7DDA">
      <w:pPr>
        <w:shd w:val="clear" w:color="auto" w:fill="FFFFFF"/>
        <w:spacing w:after="82" w:line="360" w:lineRule="auto"/>
        <w:ind w:firstLineChars="196" w:firstLine="413"/>
        <w:outlineLvl w:val="1"/>
        <w:rPr>
          <w:rFonts w:asciiTheme="minorEastAsia" w:hAnsiTheme="minorEastAsia"/>
          <w:b/>
          <w:szCs w:val="21"/>
        </w:rPr>
      </w:pPr>
      <w:r w:rsidRPr="006C7DDA">
        <w:rPr>
          <w:rFonts w:asciiTheme="minorEastAsia" w:hAnsiTheme="minorEastAsia" w:hint="eastAsia"/>
          <w:b/>
          <w:szCs w:val="21"/>
        </w:rPr>
        <w:t>一、宏观面：国际方面</w:t>
      </w:r>
      <w:r w:rsidR="003D5E6F" w:rsidRPr="006C7DDA">
        <w:rPr>
          <w:rFonts w:asciiTheme="minorEastAsia" w:hAnsiTheme="minorEastAsia" w:hint="eastAsia"/>
          <w:b/>
          <w:szCs w:val="21"/>
        </w:rPr>
        <w:t>,</w:t>
      </w:r>
      <w:r w:rsidR="00362601" w:rsidRPr="006C7DDA">
        <w:rPr>
          <w:rFonts w:asciiTheme="minorEastAsia" w:hAnsiTheme="minorEastAsia" w:hint="eastAsia"/>
          <w:b/>
          <w:bCs/>
          <w:szCs w:val="21"/>
        </w:rPr>
        <w:t xml:space="preserve"> 美国参议院通过税改法案、希腊和欧元区债权人达成初步协议、英国承诺维持爱尔兰与北爱现行监管</w:t>
      </w:r>
      <w:r w:rsidRPr="006C7DDA">
        <w:rPr>
          <w:rFonts w:asciiTheme="minorEastAsia" w:hAnsiTheme="minorEastAsia" w:hint="eastAsia"/>
          <w:b/>
          <w:szCs w:val="21"/>
        </w:rPr>
        <w:t>；国内方面</w:t>
      </w:r>
      <w:r w:rsidR="008B695F" w:rsidRPr="006C7DDA">
        <w:rPr>
          <w:rFonts w:asciiTheme="minorEastAsia" w:hAnsiTheme="minorEastAsia" w:hint="eastAsia"/>
          <w:b/>
          <w:szCs w:val="21"/>
        </w:rPr>
        <w:t>，</w:t>
      </w:r>
      <w:r w:rsidR="007F6457" w:rsidRPr="006C7DDA">
        <w:rPr>
          <w:rFonts w:asciiTheme="minorEastAsia" w:hAnsiTheme="minorEastAsia" w:hint="eastAsia"/>
          <w:b/>
          <w:szCs w:val="21"/>
        </w:rPr>
        <w:t>中国11月制造业PMI数据公布</w:t>
      </w:r>
    </w:p>
    <w:p w:rsidR="00794A44" w:rsidRPr="006C7DDA" w:rsidRDefault="00E7752A" w:rsidP="00794A44">
      <w:pPr>
        <w:spacing w:line="360" w:lineRule="auto"/>
        <w:ind w:firstLine="412"/>
        <w:rPr>
          <w:rFonts w:asciiTheme="minorEastAsia" w:hAnsiTheme="minorEastAsia"/>
          <w:b/>
          <w:bCs/>
          <w:szCs w:val="21"/>
        </w:rPr>
      </w:pPr>
      <w:r w:rsidRPr="006C7DDA">
        <w:rPr>
          <w:rFonts w:asciiTheme="minorEastAsia" w:hAnsiTheme="minorEastAsia" w:hint="eastAsia"/>
          <w:b/>
          <w:bCs/>
          <w:szCs w:val="21"/>
        </w:rPr>
        <w:t>国际方面，</w:t>
      </w:r>
      <w:r w:rsidR="00362601" w:rsidRPr="006C7DDA">
        <w:rPr>
          <w:rFonts w:asciiTheme="minorEastAsia" w:hAnsiTheme="minorEastAsia" w:hint="eastAsia"/>
          <w:b/>
          <w:bCs/>
          <w:szCs w:val="21"/>
        </w:rPr>
        <w:t>美国参议院通过税改法案、希腊和欧元区债权人达成初步协议、英国承诺维持爱尔兰与北爱现行监管</w:t>
      </w:r>
    </w:p>
    <w:p w:rsidR="00007514" w:rsidRPr="006C7DDA" w:rsidRDefault="00007514" w:rsidP="00794A44">
      <w:pPr>
        <w:spacing w:line="360" w:lineRule="auto"/>
        <w:ind w:firstLine="412"/>
        <w:rPr>
          <w:rFonts w:asciiTheme="minorEastAsia" w:hAnsiTheme="minorEastAsia"/>
          <w:szCs w:val="21"/>
        </w:rPr>
      </w:pPr>
      <w:r w:rsidRPr="006C7DDA">
        <w:rPr>
          <w:rFonts w:asciiTheme="minorEastAsia" w:hAnsiTheme="minorEastAsia" w:hint="eastAsia"/>
          <w:szCs w:val="21"/>
        </w:rPr>
        <w:t>美国参议院上周六（12月2日）以微弱多数票通过税改法案，使得共和党人和总统特朗普朝他们的减税目标迈进了一大步。这次税改若落实，将成为1980年代以来美国税法最重大的改变。美国税改取得实质性进展，将直接刺激经济增长：此次税改主要关注企业所得税下降，对于美国企业来讲，可直接提高企业盈利，加强企业扩张热情，促海外利润回流，直接刺激经济增长及降低失业率；对于居民来讲，税后收入提高，私人消费增长将加速。其次全球资金回流美国，美元或将进入升值周期。另外美国作为全球经济的火车头，其经济向好对全球贸易回暖具有促进作用，但也有部分经济学家预计美国经济可能出现衰退。</w:t>
      </w:r>
    </w:p>
    <w:p w:rsidR="00007514" w:rsidRPr="006C7DDA" w:rsidRDefault="00007514" w:rsidP="00794A44">
      <w:pPr>
        <w:spacing w:line="360" w:lineRule="auto"/>
        <w:ind w:firstLine="412"/>
        <w:rPr>
          <w:rFonts w:asciiTheme="minorEastAsia" w:hAnsiTheme="minorEastAsia"/>
          <w:szCs w:val="21"/>
        </w:rPr>
      </w:pPr>
      <w:r w:rsidRPr="006C7DDA">
        <w:rPr>
          <w:rFonts w:asciiTheme="minorEastAsia" w:hAnsiTheme="minorEastAsia" w:hint="eastAsia"/>
          <w:szCs w:val="21"/>
        </w:rPr>
        <w:t>希腊和欧元区债权人达成初步协议，希腊需要在救助方案下推出改革措施，此举可能为希腊在明年8月份摆脱援助铺平道路。在明年8月份的救援计划结束之前，希腊的债权人至少还会对希腊的改革进程进行一次审查。</w:t>
      </w:r>
    </w:p>
    <w:p w:rsidR="007F18E8" w:rsidRPr="006C7DDA" w:rsidRDefault="00007514" w:rsidP="00794A44">
      <w:pPr>
        <w:spacing w:line="360" w:lineRule="auto"/>
        <w:ind w:firstLine="412"/>
        <w:rPr>
          <w:rFonts w:asciiTheme="minorEastAsia" w:hAnsiTheme="minorEastAsia"/>
          <w:b/>
          <w:szCs w:val="21"/>
        </w:rPr>
      </w:pPr>
      <w:r w:rsidRPr="006C7DDA">
        <w:rPr>
          <w:rFonts w:asciiTheme="minorEastAsia" w:hAnsiTheme="minorEastAsia" w:hint="eastAsia"/>
          <w:szCs w:val="21"/>
        </w:rPr>
        <w:t>英国首相发言人表示，脱欧谈判取得了良好进展，但还有更多问题需要达成共识；英国希望脱欧谈判尽快取得进展，但主要注意力集中在12月14-15日的欧盟峰会。据外媒报道，爱尔兰边境协议草案文本显示，英国首相特雷莎</w:t>
      </w:r>
      <w:r w:rsidRPr="006C7DDA">
        <w:rPr>
          <w:rFonts w:asciiTheme="minorEastAsia" w:eastAsia="MS Mincho" w:hAnsi="MS Mincho" w:cs="MS Mincho" w:hint="eastAsia"/>
          <w:szCs w:val="21"/>
        </w:rPr>
        <w:t>・</w:t>
      </w:r>
      <w:r w:rsidRPr="006C7DDA">
        <w:rPr>
          <w:rFonts w:asciiTheme="minorEastAsia" w:hAnsiTheme="minorEastAsia" w:cs="仿宋" w:hint="eastAsia"/>
          <w:szCs w:val="21"/>
        </w:rPr>
        <w:t>梅可能会在脱欧条款上进行让步；英国将在脱欧协定草案中，承诺维持爱尔兰与北爱尔兰现行的监管安排</w:t>
      </w:r>
      <w:r w:rsidRPr="006C7DDA">
        <w:rPr>
          <w:rFonts w:asciiTheme="minorEastAsia" w:hAnsiTheme="minorEastAsia" w:hint="eastAsia"/>
          <w:szCs w:val="21"/>
        </w:rPr>
        <w:t>。</w:t>
      </w:r>
      <w:r w:rsidR="00794A44" w:rsidRPr="006C7DDA">
        <w:rPr>
          <w:rFonts w:asciiTheme="minorEastAsia" w:hAnsiTheme="minorEastAsia" w:hint="eastAsia"/>
          <w:szCs w:val="21"/>
        </w:rPr>
        <w:br/>
      </w:r>
      <w:r w:rsidR="00794A44" w:rsidRPr="006C7DDA">
        <w:rPr>
          <w:rFonts w:asciiTheme="minorEastAsia" w:hAnsiTheme="minorEastAsia" w:hint="eastAsia"/>
          <w:b/>
          <w:szCs w:val="21"/>
        </w:rPr>
        <w:tab/>
      </w:r>
      <w:r w:rsidR="00E7752A" w:rsidRPr="006C7DDA">
        <w:rPr>
          <w:rFonts w:asciiTheme="minorEastAsia" w:hAnsiTheme="minorEastAsia" w:hint="eastAsia"/>
          <w:b/>
          <w:szCs w:val="21"/>
        </w:rPr>
        <w:t>国内方面，</w:t>
      </w:r>
      <w:r w:rsidR="00B41F99" w:rsidRPr="006C7DDA">
        <w:rPr>
          <w:rFonts w:asciiTheme="minorEastAsia" w:hAnsiTheme="minorEastAsia" w:hint="eastAsia"/>
          <w:b/>
          <w:szCs w:val="21"/>
        </w:rPr>
        <w:t>中国11月制造业PMI数据公布</w:t>
      </w:r>
    </w:p>
    <w:p w:rsidR="00B41F99" w:rsidRPr="006C7DDA" w:rsidRDefault="00794A44" w:rsidP="00C17E30">
      <w:pPr>
        <w:spacing w:line="360" w:lineRule="auto"/>
        <w:rPr>
          <w:rFonts w:asciiTheme="minorEastAsia" w:hAnsiTheme="minorEastAsia"/>
          <w:bCs/>
          <w:szCs w:val="21"/>
        </w:rPr>
      </w:pPr>
      <w:r w:rsidRPr="006C7DDA">
        <w:rPr>
          <w:rFonts w:asciiTheme="minorEastAsia" w:hAnsiTheme="minorEastAsia" w:hint="eastAsia"/>
          <w:b/>
          <w:bCs/>
          <w:szCs w:val="21"/>
        </w:rPr>
        <w:tab/>
      </w:r>
      <w:r w:rsidR="00B41F99" w:rsidRPr="006C7DDA">
        <w:rPr>
          <w:rFonts w:asciiTheme="minorEastAsia" w:hAnsiTheme="minorEastAsia" w:hint="eastAsia"/>
          <w:bCs/>
          <w:szCs w:val="21"/>
        </w:rPr>
        <w:t>国家统计局上周发布数据显示，2017年11月我国制造业采购经理指数（PMI）为51.8%，较十月的51.6%上升0.2%，制造业稳中有升的发展态势继续保持。其中大型企业</w:t>
      </w:r>
      <w:r w:rsidR="00B41F99" w:rsidRPr="006C7DDA">
        <w:rPr>
          <w:rFonts w:asciiTheme="minorEastAsia" w:hAnsiTheme="minorEastAsia"/>
          <w:bCs/>
          <w:szCs w:val="21"/>
        </w:rPr>
        <w:t>PMI</w:t>
      </w:r>
      <w:r w:rsidR="00B41F99" w:rsidRPr="006C7DDA">
        <w:rPr>
          <w:rFonts w:asciiTheme="minorEastAsia" w:hAnsiTheme="minorEastAsia" w:hint="eastAsia"/>
          <w:bCs/>
          <w:szCs w:val="21"/>
        </w:rPr>
        <w:t>52.9%，</w:t>
      </w:r>
      <w:r w:rsidR="00B41F99" w:rsidRPr="006C7DDA">
        <w:rPr>
          <w:rFonts w:asciiTheme="minorEastAsia" w:hAnsiTheme="minorEastAsia" w:hint="eastAsia"/>
          <w:bCs/>
          <w:szCs w:val="21"/>
        </w:rPr>
        <w:lastRenderedPageBreak/>
        <w:t>较10月下跌0.2%；中型企业</w:t>
      </w:r>
      <w:r w:rsidR="00B41F99" w:rsidRPr="006C7DDA">
        <w:rPr>
          <w:rFonts w:asciiTheme="minorEastAsia" w:hAnsiTheme="minorEastAsia"/>
          <w:bCs/>
          <w:szCs w:val="21"/>
        </w:rPr>
        <w:t>PMI</w:t>
      </w:r>
      <w:r w:rsidR="00B41F99" w:rsidRPr="006C7DDA">
        <w:rPr>
          <w:rFonts w:asciiTheme="minorEastAsia" w:hAnsiTheme="minorEastAsia" w:hint="eastAsia"/>
          <w:bCs/>
          <w:szCs w:val="21"/>
        </w:rPr>
        <w:t>50.5%，较10月上升0.7%；小型企业</w:t>
      </w:r>
      <w:r w:rsidR="00B41F99" w:rsidRPr="006C7DDA">
        <w:rPr>
          <w:rFonts w:asciiTheme="minorEastAsia" w:hAnsiTheme="minorEastAsia"/>
          <w:bCs/>
          <w:szCs w:val="21"/>
        </w:rPr>
        <w:t>PMI</w:t>
      </w:r>
      <w:r w:rsidR="00B41F99" w:rsidRPr="006C7DDA">
        <w:rPr>
          <w:rFonts w:asciiTheme="minorEastAsia" w:hAnsiTheme="minorEastAsia" w:hint="eastAsia"/>
          <w:bCs/>
          <w:szCs w:val="21"/>
        </w:rPr>
        <w:t>49.8%，较10月上升0.8%。</w:t>
      </w:r>
    </w:p>
    <w:p w:rsidR="00276EC6" w:rsidRDefault="00276EC6" w:rsidP="00276EC6">
      <w:pPr>
        <w:spacing w:line="360" w:lineRule="auto"/>
        <w:rPr>
          <w:rFonts w:ascii="仿宋" w:eastAsia="仿宋" w:hAnsi="仿宋"/>
          <w:b/>
          <w:szCs w:val="21"/>
        </w:rPr>
      </w:pPr>
    </w:p>
    <w:p w:rsidR="00276EC6" w:rsidRPr="006C7DDA" w:rsidRDefault="00276EC6" w:rsidP="006C7DDA">
      <w:pPr>
        <w:spacing w:line="360" w:lineRule="auto"/>
        <w:ind w:firstLineChars="196" w:firstLine="413"/>
        <w:rPr>
          <w:rFonts w:asciiTheme="minorEastAsia" w:hAnsiTheme="minorEastAsia"/>
          <w:b/>
          <w:szCs w:val="21"/>
        </w:rPr>
      </w:pPr>
      <w:r w:rsidRPr="006C7DDA">
        <w:rPr>
          <w:rFonts w:asciiTheme="minorEastAsia" w:hAnsiTheme="minorEastAsia" w:hint="eastAsia"/>
          <w:b/>
          <w:szCs w:val="21"/>
        </w:rPr>
        <w:t>二、资金面：本周资金面较为宽松，日间银行隔夜融出较为充裕，跨月资金价格逐日降低，月末资金面情况与以往月末情况略有不同，或因银行为准备跨年资金加大负债吸收力度及国开债停发后造成的短期流动性宽松，年末资金面情况仍需谨慎</w:t>
      </w:r>
    </w:p>
    <w:p w:rsidR="00276EC6" w:rsidRPr="006C7DDA" w:rsidRDefault="00276EC6" w:rsidP="00276EC6">
      <w:pPr>
        <w:spacing w:line="360" w:lineRule="auto"/>
        <w:ind w:firstLineChars="200" w:firstLine="422"/>
        <w:rPr>
          <w:rFonts w:asciiTheme="minorEastAsia" w:hAnsiTheme="minorEastAsia"/>
          <w:szCs w:val="21"/>
        </w:rPr>
      </w:pPr>
      <w:r w:rsidRPr="006C7DDA">
        <w:rPr>
          <w:rFonts w:asciiTheme="minorEastAsia" w:hAnsiTheme="minorEastAsia" w:hint="eastAsia"/>
          <w:b/>
          <w:szCs w:val="21"/>
        </w:rPr>
        <w:t>回购：</w:t>
      </w:r>
      <w:r w:rsidRPr="006C7DDA">
        <w:rPr>
          <w:rFonts w:asciiTheme="minorEastAsia" w:hAnsiTheme="minorEastAsia" w:hint="eastAsia"/>
          <w:szCs w:val="21"/>
        </w:rPr>
        <w:t>本周央行公开市场净回笼400亿元。截止1日，银行间各期限回购利率均大幅下行，跨月后隔夜品种加权利率下行至64，成交量升至近22000亿元，交易所GC001单周加权利率下行至4.01，日均成交量仍维持在8000亿元左右。公开市场操作存量（MLF+回购）小幅下行，银行间融资余额变动不大。本周资金面较为宽松，日间银行隔夜融出较为充裕，跨月资金价格逐日降低，月末资金面情况与以往月末情况略有不同，或因银行为准备跨年资金加大负债吸收力度及国开债停发后造成的短期流动性宽松，年末资金面情况仍需谨慎。</w:t>
      </w:r>
    </w:p>
    <w:p w:rsidR="00231A94" w:rsidRDefault="00231A94" w:rsidP="006C7DDA">
      <w:pPr>
        <w:spacing w:line="360" w:lineRule="auto"/>
        <w:jc w:val="left"/>
        <w:rPr>
          <w:rFonts w:asciiTheme="minorEastAsia" w:hAnsiTheme="minorEastAsia" w:hint="eastAsia"/>
          <w:szCs w:val="21"/>
        </w:rPr>
      </w:pPr>
    </w:p>
    <w:p w:rsidR="00276EC6" w:rsidRPr="006C7DDA" w:rsidRDefault="00276EC6" w:rsidP="006C7DDA">
      <w:pPr>
        <w:spacing w:line="360" w:lineRule="auto"/>
        <w:jc w:val="left"/>
        <w:rPr>
          <w:rFonts w:asciiTheme="minorEastAsia" w:hAnsiTheme="minorEastAsia"/>
          <w:szCs w:val="21"/>
        </w:rPr>
      </w:pPr>
      <w:r w:rsidRPr="006C7DDA">
        <w:rPr>
          <w:rFonts w:asciiTheme="minorEastAsia" w:hAnsiTheme="minorEastAsia" w:hint="eastAsia"/>
          <w:szCs w:val="21"/>
        </w:rPr>
        <w:t>央行公开市场操作情况</w:t>
      </w:r>
    </w:p>
    <w:p w:rsidR="00276EC6" w:rsidRPr="00276EC6" w:rsidRDefault="00276EC6" w:rsidP="00C33E86">
      <w:pPr>
        <w:spacing w:line="360" w:lineRule="auto"/>
        <w:jc w:val="center"/>
        <w:rPr>
          <w:rFonts w:ascii="仿宋" w:eastAsia="仿宋" w:hAnsi="仿宋"/>
          <w:szCs w:val="21"/>
        </w:rPr>
      </w:pPr>
      <w:r w:rsidRPr="00276EC6">
        <w:rPr>
          <w:rFonts w:ascii="仿宋" w:eastAsia="仿宋" w:hAnsi="仿宋"/>
          <w:noProof/>
          <w:szCs w:val="21"/>
        </w:rPr>
        <w:drawing>
          <wp:inline distT="0" distB="0" distL="0" distR="0">
            <wp:extent cx="5274310" cy="3094150"/>
            <wp:effectExtent l="19050" t="0" r="2540" b="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4310" cy="3094150"/>
                    </a:xfrm>
                    <a:prstGeom prst="rect">
                      <a:avLst/>
                    </a:prstGeom>
                    <a:noFill/>
                    <a:ln w="9525">
                      <a:noFill/>
                      <a:miter lim="800000"/>
                      <a:headEnd/>
                      <a:tailEnd/>
                    </a:ln>
                  </pic:spPr>
                </pic:pic>
              </a:graphicData>
            </a:graphic>
          </wp:inline>
        </w:drawing>
      </w:r>
    </w:p>
    <w:p w:rsidR="006C7DDA" w:rsidRDefault="006C7DDA" w:rsidP="00276EC6">
      <w:pPr>
        <w:spacing w:line="360" w:lineRule="auto"/>
        <w:ind w:firstLineChars="200" w:firstLine="420"/>
        <w:rPr>
          <w:rFonts w:asciiTheme="minorEastAsia" w:hAnsiTheme="minorEastAsia"/>
          <w:szCs w:val="21"/>
        </w:rPr>
      </w:pPr>
    </w:p>
    <w:p w:rsidR="006C7DDA" w:rsidRDefault="006C7DDA" w:rsidP="00276EC6">
      <w:pPr>
        <w:spacing w:line="360" w:lineRule="auto"/>
        <w:ind w:firstLineChars="200" w:firstLine="420"/>
        <w:rPr>
          <w:rFonts w:asciiTheme="minorEastAsia" w:hAnsiTheme="minorEastAsia"/>
          <w:szCs w:val="21"/>
        </w:rPr>
      </w:pPr>
    </w:p>
    <w:p w:rsidR="006C7DDA" w:rsidRDefault="006C7DDA" w:rsidP="00276EC6">
      <w:pPr>
        <w:spacing w:line="360" w:lineRule="auto"/>
        <w:ind w:firstLineChars="200" w:firstLine="420"/>
        <w:rPr>
          <w:rFonts w:asciiTheme="minorEastAsia" w:hAnsiTheme="minorEastAsia"/>
          <w:szCs w:val="21"/>
        </w:rPr>
      </w:pPr>
    </w:p>
    <w:p w:rsidR="006C7DDA" w:rsidRDefault="006C7DDA" w:rsidP="00276EC6">
      <w:pPr>
        <w:spacing w:line="360" w:lineRule="auto"/>
        <w:ind w:firstLineChars="200" w:firstLine="420"/>
        <w:rPr>
          <w:rFonts w:asciiTheme="minorEastAsia" w:hAnsiTheme="minorEastAsia"/>
          <w:szCs w:val="21"/>
        </w:rPr>
      </w:pPr>
    </w:p>
    <w:p w:rsidR="006C7DDA" w:rsidRDefault="006C7DDA" w:rsidP="00276EC6">
      <w:pPr>
        <w:spacing w:line="360" w:lineRule="auto"/>
        <w:ind w:firstLineChars="200" w:firstLine="420"/>
        <w:rPr>
          <w:rFonts w:asciiTheme="minorEastAsia" w:hAnsiTheme="minorEastAsia"/>
          <w:szCs w:val="21"/>
        </w:rPr>
      </w:pPr>
    </w:p>
    <w:p w:rsidR="006C7DDA" w:rsidRDefault="006C7DDA" w:rsidP="00276EC6">
      <w:pPr>
        <w:spacing w:line="360" w:lineRule="auto"/>
        <w:ind w:firstLineChars="200" w:firstLine="420"/>
        <w:rPr>
          <w:rFonts w:asciiTheme="minorEastAsia" w:hAnsiTheme="minorEastAsia"/>
          <w:szCs w:val="21"/>
        </w:rPr>
      </w:pPr>
    </w:p>
    <w:p w:rsidR="00276EC6" w:rsidRPr="006C7DDA" w:rsidRDefault="00276EC6" w:rsidP="006C7DDA">
      <w:pPr>
        <w:spacing w:line="360" w:lineRule="auto"/>
        <w:jc w:val="left"/>
        <w:rPr>
          <w:rFonts w:asciiTheme="minorEastAsia" w:hAnsiTheme="minorEastAsia"/>
          <w:szCs w:val="21"/>
          <w:highlight w:val="yellow"/>
        </w:rPr>
      </w:pPr>
      <w:r w:rsidRPr="006C7DDA">
        <w:rPr>
          <w:rFonts w:asciiTheme="minorEastAsia" w:hAnsiTheme="minorEastAsia" w:hint="eastAsia"/>
          <w:szCs w:val="21"/>
        </w:rPr>
        <w:t>近期银行间回购主要品种收益率较上周变动</w:t>
      </w:r>
    </w:p>
    <w:p w:rsidR="00276EC6" w:rsidRPr="00276EC6" w:rsidRDefault="00276EC6" w:rsidP="00C33E86">
      <w:pPr>
        <w:spacing w:line="360" w:lineRule="auto"/>
        <w:jc w:val="center"/>
        <w:rPr>
          <w:rFonts w:ascii="仿宋" w:eastAsia="仿宋" w:hAnsi="仿宋"/>
          <w:color w:val="FF0000"/>
          <w:szCs w:val="21"/>
          <w:highlight w:val="yellow"/>
        </w:rPr>
      </w:pPr>
      <w:r w:rsidRPr="00276EC6">
        <w:rPr>
          <w:rFonts w:ascii="仿宋" w:eastAsia="仿宋" w:hAnsi="仿宋"/>
          <w:noProof/>
          <w:szCs w:val="21"/>
        </w:rPr>
        <w:drawing>
          <wp:inline distT="0" distB="0" distL="0" distR="0">
            <wp:extent cx="4248150" cy="1905000"/>
            <wp:effectExtent l="1905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48150" cy="1905000"/>
                    </a:xfrm>
                    <a:prstGeom prst="rect">
                      <a:avLst/>
                    </a:prstGeom>
                    <a:noFill/>
                    <a:ln w="9525">
                      <a:noFill/>
                      <a:miter lim="800000"/>
                      <a:headEnd/>
                      <a:tailEnd/>
                    </a:ln>
                  </pic:spPr>
                </pic:pic>
              </a:graphicData>
            </a:graphic>
          </wp:inline>
        </w:drawing>
      </w:r>
    </w:p>
    <w:p w:rsidR="00276EC6" w:rsidRPr="00276EC6" w:rsidRDefault="00276EC6" w:rsidP="00C33E86">
      <w:pPr>
        <w:spacing w:line="360" w:lineRule="auto"/>
        <w:rPr>
          <w:rFonts w:ascii="仿宋" w:eastAsia="仿宋" w:hAnsi="仿宋"/>
          <w:color w:val="FF0000"/>
          <w:szCs w:val="21"/>
          <w:highlight w:val="yellow"/>
        </w:rPr>
      </w:pPr>
      <w:r w:rsidRPr="00276EC6">
        <w:rPr>
          <w:rFonts w:ascii="仿宋" w:eastAsia="仿宋" w:hAnsi="仿宋"/>
          <w:noProof/>
          <w:szCs w:val="21"/>
        </w:rPr>
        <w:drawing>
          <wp:inline distT="0" distB="0" distL="0" distR="0">
            <wp:extent cx="5274310" cy="1896440"/>
            <wp:effectExtent l="19050" t="0" r="2540" b="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74310" cy="1896440"/>
                    </a:xfrm>
                    <a:prstGeom prst="rect">
                      <a:avLst/>
                    </a:prstGeom>
                    <a:noFill/>
                    <a:ln w="9525">
                      <a:noFill/>
                      <a:miter lim="800000"/>
                      <a:headEnd/>
                      <a:tailEnd/>
                    </a:ln>
                  </pic:spPr>
                </pic:pic>
              </a:graphicData>
            </a:graphic>
          </wp:inline>
        </w:drawing>
      </w:r>
    </w:p>
    <w:p w:rsidR="006C7DDA" w:rsidRDefault="006C7DDA" w:rsidP="006C7DDA">
      <w:pPr>
        <w:spacing w:line="360" w:lineRule="auto"/>
        <w:rPr>
          <w:rFonts w:asciiTheme="minorEastAsia" w:hAnsiTheme="minorEastAsia"/>
          <w:szCs w:val="21"/>
        </w:rPr>
      </w:pPr>
    </w:p>
    <w:p w:rsidR="00276EC6" w:rsidRPr="006C7DDA" w:rsidRDefault="00276EC6" w:rsidP="006C7DDA">
      <w:pPr>
        <w:spacing w:line="360" w:lineRule="auto"/>
        <w:rPr>
          <w:rFonts w:asciiTheme="minorEastAsia" w:hAnsiTheme="minorEastAsia"/>
          <w:szCs w:val="21"/>
        </w:rPr>
      </w:pPr>
      <w:r w:rsidRPr="006C7DDA">
        <w:rPr>
          <w:rFonts w:asciiTheme="minorEastAsia" w:hAnsiTheme="minorEastAsia" w:hint="eastAsia"/>
          <w:szCs w:val="21"/>
        </w:rPr>
        <w:t>交易所隔夜品种（GC001）利率变动情况</w:t>
      </w:r>
    </w:p>
    <w:p w:rsidR="00276EC6" w:rsidRPr="00276EC6" w:rsidRDefault="00276EC6" w:rsidP="00C33E86">
      <w:pPr>
        <w:spacing w:line="360" w:lineRule="auto"/>
        <w:rPr>
          <w:rFonts w:ascii="仿宋" w:eastAsia="仿宋" w:hAnsi="仿宋"/>
          <w:szCs w:val="21"/>
        </w:rPr>
      </w:pPr>
      <w:r w:rsidRPr="00276EC6">
        <w:rPr>
          <w:rFonts w:ascii="仿宋" w:eastAsia="仿宋" w:hAnsi="仿宋"/>
          <w:noProof/>
          <w:szCs w:val="21"/>
        </w:rPr>
        <w:drawing>
          <wp:inline distT="0" distB="0" distL="0" distR="0">
            <wp:extent cx="5274310" cy="2053548"/>
            <wp:effectExtent l="19050" t="0" r="2540" b="0"/>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4310" cy="2053548"/>
                    </a:xfrm>
                    <a:prstGeom prst="rect">
                      <a:avLst/>
                    </a:prstGeom>
                    <a:noFill/>
                    <a:ln w="9525">
                      <a:noFill/>
                      <a:miter lim="800000"/>
                      <a:headEnd/>
                      <a:tailEnd/>
                    </a:ln>
                  </pic:spPr>
                </pic:pic>
              </a:graphicData>
            </a:graphic>
          </wp:inline>
        </w:drawing>
      </w:r>
    </w:p>
    <w:p w:rsidR="00276EC6" w:rsidRPr="00276EC6" w:rsidRDefault="00276EC6" w:rsidP="00276EC6">
      <w:pPr>
        <w:spacing w:line="360" w:lineRule="auto"/>
        <w:ind w:firstLineChars="200" w:firstLine="420"/>
        <w:rPr>
          <w:rFonts w:ascii="仿宋" w:eastAsia="仿宋" w:hAnsi="仿宋"/>
          <w:szCs w:val="21"/>
        </w:rPr>
      </w:pPr>
      <w:r w:rsidRPr="00276EC6">
        <w:rPr>
          <w:rFonts w:ascii="仿宋" w:eastAsia="仿宋" w:hAnsi="仿宋" w:hint="eastAsia"/>
          <w:szCs w:val="21"/>
        </w:rPr>
        <w:t>备注：上图表示GC001每周加权利率的变动情况</w:t>
      </w:r>
    </w:p>
    <w:p w:rsidR="006C7DDA" w:rsidRDefault="006C7DDA" w:rsidP="00276EC6">
      <w:pPr>
        <w:spacing w:line="360" w:lineRule="auto"/>
        <w:ind w:firstLineChars="200" w:firstLine="422"/>
        <w:rPr>
          <w:rFonts w:ascii="仿宋" w:eastAsia="仿宋" w:hAnsi="仿宋"/>
          <w:b/>
          <w:szCs w:val="21"/>
        </w:rPr>
      </w:pPr>
    </w:p>
    <w:p w:rsidR="00276EC6" w:rsidRPr="006C7DDA" w:rsidRDefault="00276EC6" w:rsidP="00276EC6">
      <w:pPr>
        <w:spacing w:line="360" w:lineRule="auto"/>
        <w:ind w:firstLineChars="200" w:firstLine="422"/>
        <w:rPr>
          <w:rFonts w:asciiTheme="minorEastAsia" w:hAnsiTheme="minorEastAsia"/>
          <w:szCs w:val="21"/>
        </w:rPr>
      </w:pPr>
      <w:r w:rsidRPr="006C7DDA">
        <w:rPr>
          <w:rFonts w:asciiTheme="minorEastAsia" w:hAnsiTheme="minorEastAsia" w:hint="eastAsia"/>
          <w:b/>
          <w:szCs w:val="21"/>
        </w:rPr>
        <w:t>同业存款：</w:t>
      </w:r>
      <w:r w:rsidRPr="006C7DDA">
        <w:rPr>
          <w:rFonts w:asciiTheme="minorEastAsia" w:hAnsiTheme="minorEastAsia" w:hint="eastAsia"/>
          <w:szCs w:val="21"/>
        </w:rPr>
        <w:t>本周同业存单发行量降至近3400亿元，发行主要集中在3个月品种，其中股份制银行1个月存单（跨年）价格抬升至4.70,3个月存单价格抬升至4.98,6个月存单价格抬升至4.98，股份制银行跨年存款价格继续抬升。同业存款方面，3个月以上存款最高价</w:t>
      </w:r>
      <w:r w:rsidRPr="006C7DDA">
        <w:rPr>
          <w:rFonts w:asciiTheme="minorEastAsia" w:hAnsiTheme="minorEastAsia" w:hint="eastAsia"/>
          <w:szCs w:val="21"/>
        </w:rPr>
        <w:lastRenderedPageBreak/>
        <w:t>小幅下行。</w:t>
      </w:r>
    </w:p>
    <w:p w:rsidR="00231A94" w:rsidRDefault="00231A94" w:rsidP="00C33E86">
      <w:pPr>
        <w:spacing w:line="360" w:lineRule="auto"/>
        <w:rPr>
          <w:rFonts w:asciiTheme="minorEastAsia" w:hAnsiTheme="minorEastAsia" w:hint="eastAsia"/>
          <w:szCs w:val="21"/>
        </w:rPr>
      </w:pPr>
    </w:p>
    <w:p w:rsidR="00276EC6" w:rsidRPr="006C7DDA" w:rsidRDefault="00276EC6" w:rsidP="00C33E86">
      <w:pPr>
        <w:spacing w:line="360" w:lineRule="auto"/>
        <w:rPr>
          <w:rFonts w:asciiTheme="minorEastAsia" w:hAnsiTheme="minorEastAsia"/>
          <w:szCs w:val="21"/>
        </w:rPr>
      </w:pPr>
      <w:r w:rsidRPr="006C7DDA">
        <w:rPr>
          <w:rFonts w:asciiTheme="minorEastAsia" w:hAnsiTheme="minorEastAsia" w:hint="eastAsia"/>
          <w:szCs w:val="21"/>
        </w:rPr>
        <w:t>同业价格分布</w:t>
      </w:r>
    </w:p>
    <w:p w:rsidR="00276EC6" w:rsidRPr="00276EC6" w:rsidRDefault="00276EC6" w:rsidP="00C33E86">
      <w:pPr>
        <w:spacing w:line="360" w:lineRule="auto"/>
        <w:jc w:val="center"/>
        <w:rPr>
          <w:rFonts w:ascii="仿宋" w:eastAsia="仿宋" w:hAnsi="仿宋"/>
          <w:szCs w:val="21"/>
        </w:rPr>
      </w:pPr>
      <w:r w:rsidRPr="00276EC6">
        <w:rPr>
          <w:rFonts w:ascii="仿宋" w:eastAsia="仿宋" w:hAnsi="仿宋"/>
          <w:noProof/>
          <w:szCs w:val="21"/>
        </w:rPr>
        <w:drawing>
          <wp:inline distT="0" distB="0" distL="0" distR="0">
            <wp:extent cx="4848225" cy="1524000"/>
            <wp:effectExtent l="19050" t="0" r="9525" b="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848225" cy="1524000"/>
                    </a:xfrm>
                    <a:prstGeom prst="rect">
                      <a:avLst/>
                    </a:prstGeom>
                    <a:noFill/>
                    <a:ln w="9525">
                      <a:noFill/>
                      <a:miter lim="800000"/>
                      <a:headEnd/>
                      <a:tailEnd/>
                    </a:ln>
                  </pic:spPr>
                </pic:pic>
              </a:graphicData>
            </a:graphic>
          </wp:inline>
        </w:drawing>
      </w:r>
    </w:p>
    <w:p w:rsidR="00276EC6" w:rsidRDefault="00276EC6" w:rsidP="00276EC6">
      <w:pPr>
        <w:spacing w:line="360" w:lineRule="auto"/>
        <w:rPr>
          <w:rFonts w:ascii="仿宋" w:eastAsia="仿宋" w:hAnsi="仿宋"/>
          <w:b/>
          <w:szCs w:val="21"/>
        </w:rPr>
      </w:pPr>
    </w:p>
    <w:p w:rsidR="00276EC6" w:rsidRPr="006C7DDA" w:rsidRDefault="00276EC6" w:rsidP="006C7DDA">
      <w:pPr>
        <w:spacing w:line="360" w:lineRule="auto"/>
        <w:ind w:firstLineChars="196" w:firstLine="413"/>
        <w:rPr>
          <w:rFonts w:asciiTheme="minorEastAsia" w:hAnsiTheme="minorEastAsia"/>
          <w:b/>
          <w:szCs w:val="21"/>
        </w:rPr>
      </w:pPr>
      <w:r w:rsidRPr="006C7DDA">
        <w:rPr>
          <w:rFonts w:asciiTheme="minorEastAsia" w:hAnsiTheme="minorEastAsia" w:hint="eastAsia"/>
          <w:b/>
          <w:szCs w:val="21"/>
        </w:rPr>
        <w:t>三、现券：周初在上周五收益率大幅下行后震荡上行，周三因监管对资管新规征询反馈意见以及国开停发的消息，国债期货大幅拉升，现券收益率亦大幅下行，在资金面偏松的背景下，现券收益率下行态势延续至周五，1号公布的PMI数据对现券影响不大，短期内市场变现为各方对于现券收益率快速大幅上行的一种抑制，但基本面及政策面对于债市的影响并未彻底改变，收益率下行的趋势并未形成，后市仍有待观察</w:t>
      </w:r>
    </w:p>
    <w:p w:rsidR="00231A94" w:rsidRDefault="00231A94" w:rsidP="00276EC6">
      <w:pPr>
        <w:spacing w:line="360" w:lineRule="auto"/>
        <w:rPr>
          <w:rFonts w:asciiTheme="minorEastAsia" w:hAnsiTheme="minorEastAsia" w:hint="eastAsia"/>
          <w:szCs w:val="21"/>
        </w:rPr>
      </w:pPr>
    </w:p>
    <w:p w:rsidR="00276EC6" w:rsidRPr="006C7DDA" w:rsidRDefault="00276EC6" w:rsidP="00276EC6">
      <w:pPr>
        <w:spacing w:line="360" w:lineRule="auto"/>
        <w:rPr>
          <w:rFonts w:asciiTheme="minorEastAsia" w:hAnsiTheme="minorEastAsia"/>
          <w:szCs w:val="21"/>
        </w:rPr>
      </w:pPr>
      <w:r w:rsidRPr="006C7DDA">
        <w:rPr>
          <w:rFonts w:asciiTheme="minorEastAsia" w:hAnsiTheme="minorEastAsia" w:hint="eastAsia"/>
          <w:szCs w:val="21"/>
        </w:rPr>
        <w:t>现券一级市场发行情况统计</w:t>
      </w:r>
    </w:p>
    <w:p w:rsidR="00276EC6" w:rsidRPr="00276EC6" w:rsidRDefault="00276EC6" w:rsidP="00C33E86">
      <w:pPr>
        <w:spacing w:line="360" w:lineRule="auto"/>
        <w:jc w:val="center"/>
        <w:rPr>
          <w:rFonts w:ascii="仿宋" w:eastAsia="仿宋" w:hAnsi="仿宋"/>
          <w:szCs w:val="21"/>
        </w:rPr>
      </w:pPr>
      <w:r w:rsidRPr="00276EC6">
        <w:rPr>
          <w:rFonts w:ascii="仿宋" w:eastAsia="仿宋" w:hAnsi="仿宋"/>
          <w:noProof/>
          <w:szCs w:val="21"/>
        </w:rPr>
        <w:drawing>
          <wp:inline distT="0" distB="0" distL="0" distR="0">
            <wp:extent cx="5153025" cy="2247900"/>
            <wp:effectExtent l="19050" t="0" r="9525" b="0"/>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153025" cy="2247900"/>
                    </a:xfrm>
                    <a:prstGeom prst="rect">
                      <a:avLst/>
                    </a:prstGeom>
                    <a:noFill/>
                    <a:ln w="9525">
                      <a:noFill/>
                      <a:miter lim="800000"/>
                      <a:headEnd/>
                      <a:tailEnd/>
                    </a:ln>
                  </pic:spPr>
                </pic:pic>
              </a:graphicData>
            </a:graphic>
          </wp:inline>
        </w:drawing>
      </w: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6C7DDA" w:rsidRDefault="006C7DDA" w:rsidP="00276EC6">
      <w:pPr>
        <w:spacing w:line="360" w:lineRule="auto"/>
        <w:rPr>
          <w:rFonts w:asciiTheme="minorEastAsia" w:hAnsiTheme="minorEastAsia"/>
          <w:szCs w:val="21"/>
        </w:rPr>
      </w:pPr>
    </w:p>
    <w:p w:rsidR="00276EC6" w:rsidRPr="006C7DDA" w:rsidRDefault="00276EC6" w:rsidP="00276EC6">
      <w:pPr>
        <w:spacing w:line="360" w:lineRule="auto"/>
        <w:rPr>
          <w:rFonts w:asciiTheme="minorEastAsia" w:hAnsiTheme="minorEastAsia"/>
          <w:szCs w:val="21"/>
        </w:rPr>
      </w:pPr>
      <w:r w:rsidRPr="006C7DDA">
        <w:rPr>
          <w:rFonts w:asciiTheme="minorEastAsia" w:hAnsiTheme="minorEastAsia" w:hint="eastAsia"/>
          <w:szCs w:val="21"/>
        </w:rPr>
        <w:t>利率债一级市场发行情况</w:t>
      </w:r>
    </w:p>
    <w:p w:rsidR="00276EC6" w:rsidRPr="00276EC6" w:rsidRDefault="00276EC6" w:rsidP="00C33E86">
      <w:pPr>
        <w:spacing w:line="360" w:lineRule="auto"/>
        <w:jc w:val="center"/>
        <w:rPr>
          <w:rFonts w:ascii="仿宋" w:eastAsia="仿宋" w:hAnsi="仿宋"/>
          <w:szCs w:val="21"/>
        </w:rPr>
      </w:pPr>
      <w:r w:rsidRPr="00276EC6">
        <w:rPr>
          <w:rFonts w:ascii="仿宋" w:eastAsia="仿宋" w:hAnsi="仿宋"/>
          <w:noProof/>
          <w:szCs w:val="21"/>
        </w:rPr>
        <w:drawing>
          <wp:inline distT="0" distB="0" distL="0" distR="0">
            <wp:extent cx="5274310" cy="2503686"/>
            <wp:effectExtent l="19050" t="0" r="2540" b="0"/>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274310" cy="2503686"/>
                    </a:xfrm>
                    <a:prstGeom prst="rect">
                      <a:avLst/>
                    </a:prstGeom>
                    <a:noFill/>
                    <a:ln w="9525">
                      <a:noFill/>
                      <a:miter lim="800000"/>
                      <a:headEnd/>
                      <a:tailEnd/>
                    </a:ln>
                  </pic:spPr>
                </pic:pic>
              </a:graphicData>
            </a:graphic>
          </wp:inline>
        </w:drawing>
      </w:r>
    </w:p>
    <w:p w:rsidR="006C7DDA" w:rsidRDefault="006C7DDA" w:rsidP="00276EC6">
      <w:pPr>
        <w:spacing w:line="360" w:lineRule="auto"/>
        <w:ind w:firstLineChars="200" w:firstLine="422"/>
        <w:rPr>
          <w:rFonts w:ascii="仿宋" w:eastAsia="仿宋" w:hAnsi="仿宋"/>
          <w:b/>
          <w:szCs w:val="21"/>
        </w:rPr>
      </w:pPr>
    </w:p>
    <w:p w:rsidR="00276EC6" w:rsidRPr="006C7DDA" w:rsidRDefault="00276EC6" w:rsidP="00276EC6">
      <w:pPr>
        <w:spacing w:line="360" w:lineRule="auto"/>
        <w:ind w:firstLineChars="200" w:firstLine="422"/>
        <w:rPr>
          <w:rFonts w:asciiTheme="minorEastAsia" w:hAnsiTheme="minorEastAsia"/>
          <w:szCs w:val="21"/>
        </w:rPr>
      </w:pPr>
      <w:r w:rsidRPr="006C7DDA">
        <w:rPr>
          <w:rFonts w:asciiTheme="minorEastAsia" w:hAnsiTheme="minorEastAsia" w:hint="eastAsia"/>
          <w:b/>
          <w:szCs w:val="21"/>
        </w:rPr>
        <w:t>利率债方面：</w:t>
      </w:r>
      <w:r w:rsidRPr="006C7DDA">
        <w:rPr>
          <w:rFonts w:asciiTheme="minorEastAsia" w:hAnsiTheme="minorEastAsia" w:hint="eastAsia"/>
          <w:szCs w:val="21"/>
        </w:rPr>
        <w:t>一级市场方面，利率债长端中标利率略高预期，结果偏弱。二级市场方面，利率债收益率小幅下行。具体来看，10年期国债活跃品种收益率下行约5bp，10年期金债收益率下行约4bp。周初在上周五收益率大幅下行后震荡上行，周三因监管对资管新规征询反馈意见以及国开停发的消息，国债期货大幅拉升，现券收益率亦大幅下行，在资金面偏松的背景下，现券收益率下行态势延续至周五，1号公布的PMI数据对现券影响不大，短期内市场变现为各方对于现券收益率快速大幅上行的一种抑制，但基本面及政策面对于债市的影响并未彻底改变，收益率下行的趋势并未形成，后市仍有待观察。</w:t>
      </w:r>
    </w:p>
    <w:p w:rsidR="00231A94" w:rsidRDefault="00231A94" w:rsidP="006C7DDA">
      <w:pPr>
        <w:spacing w:line="360" w:lineRule="auto"/>
        <w:jc w:val="left"/>
        <w:rPr>
          <w:rFonts w:asciiTheme="minorEastAsia" w:hAnsiTheme="minorEastAsia" w:hint="eastAsia"/>
          <w:szCs w:val="21"/>
        </w:rPr>
      </w:pPr>
    </w:p>
    <w:p w:rsidR="00276EC6" w:rsidRPr="006C7DDA" w:rsidRDefault="00276EC6" w:rsidP="006C7DDA">
      <w:pPr>
        <w:spacing w:line="360" w:lineRule="auto"/>
        <w:jc w:val="left"/>
        <w:rPr>
          <w:rFonts w:asciiTheme="minorEastAsia" w:hAnsiTheme="minorEastAsia"/>
          <w:szCs w:val="21"/>
        </w:rPr>
      </w:pPr>
      <w:r w:rsidRPr="006C7DDA">
        <w:rPr>
          <w:rFonts w:asciiTheme="minorEastAsia" w:hAnsiTheme="minorEastAsia" w:hint="eastAsia"/>
          <w:szCs w:val="21"/>
        </w:rPr>
        <w:t>利率债活跃品种收益率</w:t>
      </w:r>
    </w:p>
    <w:p w:rsidR="00276EC6" w:rsidRPr="00276EC6" w:rsidRDefault="00276EC6" w:rsidP="00C33E86">
      <w:pPr>
        <w:spacing w:line="360" w:lineRule="auto"/>
        <w:jc w:val="center"/>
        <w:rPr>
          <w:rFonts w:ascii="仿宋" w:eastAsia="仿宋" w:hAnsi="仿宋"/>
          <w:szCs w:val="21"/>
        </w:rPr>
      </w:pPr>
      <w:r w:rsidRPr="00276EC6">
        <w:rPr>
          <w:rFonts w:ascii="仿宋" w:eastAsia="仿宋" w:hAnsi="仿宋"/>
          <w:noProof/>
          <w:szCs w:val="21"/>
        </w:rPr>
        <w:drawing>
          <wp:inline distT="0" distB="0" distL="0" distR="0">
            <wp:extent cx="4286250" cy="1905000"/>
            <wp:effectExtent l="19050" t="0" r="0" b="0"/>
            <wp:docPr id="3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276EC6" w:rsidRPr="006C7DDA" w:rsidRDefault="00276EC6" w:rsidP="00C33E86">
      <w:pPr>
        <w:spacing w:line="360" w:lineRule="auto"/>
        <w:jc w:val="left"/>
        <w:rPr>
          <w:rFonts w:asciiTheme="minorEastAsia" w:hAnsiTheme="minorEastAsia"/>
          <w:szCs w:val="21"/>
        </w:rPr>
      </w:pPr>
      <w:r w:rsidRPr="006C7DDA">
        <w:rPr>
          <w:rFonts w:asciiTheme="minorEastAsia" w:hAnsiTheme="minorEastAsia" w:hint="eastAsia"/>
          <w:szCs w:val="21"/>
        </w:rPr>
        <w:lastRenderedPageBreak/>
        <w:t>利率债关键期限收益率曲线</w:t>
      </w:r>
    </w:p>
    <w:p w:rsidR="00276EC6" w:rsidRPr="00276EC6" w:rsidRDefault="00276EC6" w:rsidP="00C33E86">
      <w:pPr>
        <w:spacing w:line="360" w:lineRule="auto"/>
        <w:jc w:val="center"/>
        <w:rPr>
          <w:rFonts w:ascii="仿宋" w:eastAsia="仿宋" w:hAnsi="仿宋"/>
          <w:szCs w:val="21"/>
          <w:highlight w:val="yellow"/>
        </w:rPr>
      </w:pPr>
      <w:r w:rsidRPr="00276EC6">
        <w:rPr>
          <w:rFonts w:ascii="仿宋" w:eastAsia="仿宋" w:hAnsi="仿宋"/>
          <w:noProof/>
          <w:szCs w:val="21"/>
        </w:rPr>
        <w:drawing>
          <wp:inline distT="0" distB="0" distL="0" distR="0">
            <wp:extent cx="5086350" cy="1533525"/>
            <wp:effectExtent l="19050" t="0" r="0" b="0"/>
            <wp:docPr id="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086350" cy="1533525"/>
                    </a:xfrm>
                    <a:prstGeom prst="rect">
                      <a:avLst/>
                    </a:prstGeom>
                    <a:noFill/>
                    <a:ln w="9525">
                      <a:noFill/>
                      <a:miter lim="800000"/>
                      <a:headEnd/>
                      <a:tailEnd/>
                    </a:ln>
                  </pic:spPr>
                </pic:pic>
              </a:graphicData>
            </a:graphic>
          </wp:inline>
        </w:drawing>
      </w:r>
    </w:p>
    <w:p w:rsidR="006C7DDA" w:rsidRDefault="006C7DDA" w:rsidP="00A7772F">
      <w:pPr>
        <w:pStyle w:val="Default"/>
        <w:spacing w:line="360" w:lineRule="auto"/>
        <w:ind w:firstLineChars="196" w:firstLine="413"/>
        <w:rPr>
          <w:rFonts w:ascii="仿宋" w:eastAsia="仿宋" w:hAnsi="仿宋"/>
          <w:b/>
          <w:sz w:val="21"/>
          <w:szCs w:val="21"/>
        </w:rPr>
      </w:pPr>
    </w:p>
    <w:p w:rsidR="00276EC6" w:rsidRPr="006C7DDA" w:rsidRDefault="00276EC6" w:rsidP="00A7772F">
      <w:pPr>
        <w:pStyle w:val="Default"/>
        <w:spacing w:line="360" w:lineRule="auto"/>
        <w:ind w:firstLineChars="196" w:firstLine="413"/>
        <w:rPr>
          <w:rFonts w:asciiTheme="minorEastAsia" w:hAnsiTheme="minorEastAsia"/>
          <w:b/>
          <w:sz w:val="21"/>
          <w:szCs w:val="21"/>
        </w:rPr>
      </w:pPr>
      <w:r w:rsidRPr="006C7DDA">
        <w:rPr>
          <w:rFonts w:asciiTheme="minorEastAsia" w:hAnsiTheme="minorEastAsia" w:hint="eastAsia"/>
          <w:b/>
          <w:sz w:val="21"/>
          <w:szCs w:val="21"/>
        </w:rPr>
        <w:t>信用债方面：</w:t>
      </w:r>
      <w:r w:rsidRPr="006C7DDA">
        <w:rPr>
          <w:rFonts w:asciiTheme="minorEastAsia" w:hAnsiTheme="minorEastAsia" w:hint="eastAsia"/>
          <w:sz w:val="21"/>
          <w:szCs w:val="21"/>
        </w:rPr>
        <w:t>二级市场方面，现券收益率小幅下行。具体来看，短融成交以3个月内AAA品种为主，中票成交以3年内AA+以上品种为主，企业债成交以5年内AA以上品种为主。短融方面，90天以上品种收益率小幅下行，下行幅度在5bp以内；中票、企业债方面，收益率小幅下行，下行幅度在5bp以内。</w:t>
      </w:r>
    </w:p>
    <w:p w:rsidR="00276EC6" w:rsidRDefault="00276EC6" w:rsidP="00276EC6">
      <w:pPr>
        <w:pStyle w:val="Default"/>
        <w:spacing w:line="360" w:lineRule="auto"/>
        <w:rPr>
          <w:rFonts w:ascii="仿宋" w:eastAsia="仿宋" w:hAnsi="仿宋"/>
          <w:b/>
          <w:sz w:val="21"/>
          <w:szCs w:val="21"/>
        </w:rPr>
      </w:pPr>
    </w:p>
    <w:p w:rsidR="00C91E8E" w:rsidRPr="006C7DDA" w:rsidRDefault="001441DE" w:rsidP="00276EC6">
      <w:pPr>
        <w:pStyle w:val="Default"/>
        <w:spacing w:line="360" w:lineRule="auto"/>
        <w:rPr>
          <w:rFonts w:asciiTheme="minorEastAsia" w:hAnsiTheme="minorEastAsia" w:cstheme="minorBidi"/>
          <w:b/>
          <w:color w:val="auto"/>
          <w:kern w:val="2"/>
          <w:sz w:val="21"/>
          <w:szCs w:val="21"/>
        </w:rPr>
      </w:pPr>
      <w:r w:rsidRPr="006C7DDA">
        <w:rPr>
          <w:rFonts w:asciiTheme="minorEastAsia" w:hAnsiTheme="minorEastAsia" w:hint="eastAsia"/>
          <w:b/>
          <w:sz w:val="21"/>
          <w:szCs w:val="21"/>
        </w:rPr>
        <w:t>四、</w:t>
      </w:r>
      <w:r w:rsidRPr="006C7DDA">
        <w:rPr>
          <w:rFonts w:asciiTheme="minorEastAsia" w:hAnsiTheme="minorEastAsia" w:cstheme="minorBidi" w:hint="eastAsia"/>
          <w:b/>
          <w:color w:val="auto"/>
          <w:kern w:val="2"/>
          <w:sz w:val="21"/>
          <w:szCs w:val="21"/>
        </w:rPr>
        <w:t>公司观点：</w:t>
      </w:r>
      <w:r w:rsidR="007D3193" w:rsidRPr="006C7DDA">
        <w:rPr>
          <w:rFonts w:asciiTheme="minorEastAsia" w:hAnsiTheme="minorEastAsia" w:cstheme="minorBidi" w:hint="eastAsia"/>
          <w:b/>
          <w:color w:val="auto"/>
          <w:kern w:val="2"/>
          <w:sz w:val="21"/>
          <w:szCs w:val="21"/>
        </w:rPr>
        <w:t>继续</w:t>
      </w:r>
      <w:r w:rsidR="003D5E6F" w:rsidRPr="006C7DDA">
        <w:rPr>
          <w:rFonts w:asciiTheme="minorEastAsia" w:hAnsiTheme="minorEastAsia" w:cstheme="minorBidi" w:hint="eastAsia"/>
          <w:b/>
          <w:color w:val="auto"/>
          <w:kern w:val="2"/>
          <w:sz w:val="21"/>
          <w:szCs w:val="21"/>
        </w:rPr>
        <w:t>建议</w:t>
      </w:r>
      <w:r w:rsidR="007D3193" w:rsidRPr="006C7DDA">
        <w:rPr>
          <w:rFonts w:asciiTheme="minorEastAsia" w:hAnsiTheme="minorEastAsia" w:cstheme="minorBidi" w:hint="eastAsia"/>
          <w:b/>
          <w:color w:val="auto"/>
          <w:kern w:val="2"/>
          <w:sz w:val="21"/>
          <w:szCs w:val="21"/>
        </w:rPr>
        <w:t>中</w:t>
      </w:r>
      <w:r w:rsidR="003D5E6F" w:rsidRPr="006C7DDA">
        <w:rPr>
          <w:rFonts w:asciiTheme="minorEastAsia" w:hAnsiTheme="minorEastAsia" w:cstheme="minorBidi" w:hint="eastAsia"/>
          <w:b/>
          <w:color w:val="auto"/>
          <w:kern w:val="2"/>
          <w:sz w:val="21"/>
          <w:szCs w:val="21"/>
        </w:rPr>
        <w:t>短</w:t>
      </w:r>
      <w:r w:rsidR="003D5E6F" w:rsidRPr="006C7DDA">
        <w:rPr>
          <w:rFonts w:asciiTheme="minorEastAsia" w:hAnsiTheme="minorEastAsia" w:cstheme="minorBidi"/>
          <w:b/>
          <w:color w:val="auto"/>
          <w:kern w:val="2"/>
          <w:sz w:val="21"/>
          <w:szCs w:val="21"/>
        </w:rPr>
        <w:t>久期和</w:t>
      </w:r>
      <w:r w:rsidR="00E6262F" w:rsidRPr="006C7DDA">
        <w:rPr>
          <w:rFonts w:asciiTheme="minorEastAsia" w:hAnsiTheme="minorEastAsia" w:cstheme="minorBidi" w:hint="eastAsia"/>
          <w:b/>
          <w:color w:val="auto"/>
          <w:kern w:val="2"/>
          <w:sz w:val="21"/>
          <w:szCs w:val="21"/>
        </w:rPr>
        <w:t>适中</w:t>
      </w:r>
      <w:r w:rsidR="003D5E6F" w:rsidRPr="006C7DDA">
        <w:rPr>
          <w:rFonts w:asciiTheme="minorEastAsia" w:hAnsiTheme="minorEastAsia" w:cstheme="minorBidi"/>
          <w:b/>
          <w:color w:val="auto"/>
          <w:kern w:val="2"/>
          <w:sz w:val="21"/>
          <w:szCs w:val="21"/>
        </w:rPr>
        <w:t>杠杆水平</w:t>
      </w:r>
    </w:p>
    <w:p w:rsidR="00794A44" w:rsidRDefault="009F72FA" w:rsidP="009F72FA">
      <w:pPr>
        <w:autoSpaceDE w:val="0"/>
        <w:autoSpaceDN w:val="0"/>
        <w:adjustRightInd w:val="0"/>
        <w:spacing w:line="360" w:lineRule="auto"/>
        <w:ind w:firstLineChars="200" w:firstLine="420"/>
        <w:rPr>
          <w:rFonts w:asciiTheme="minorEastAsia" w:hAnsiTheme="minorEastAsia"/>
          <w:szCs w:val="21"/>
        </w:rPr>
      </w:pPr>
      <w:r w:rsidRPr="006C7DDA">
        <w:rPr>
          <w:rFonts w:asciiTheme="minorEastAsia" w:hAnsiTheme="minorEastAsia" w:hint="eastAsia"/>
          <w:szCs w:val="21"/>
        </w:rPr>
        <w:t>整体来看，上周监管冲击暂缓，市场震荡持续。一级市场方面，</w:t>
      </w:r>
      <w:r w:rsidRPr="006C7DDA">
        <w:rPr>
          <w:rFonts w:asciiTheme="minorEastAsia" w:hAnsiTheme="minorEastAsia"/>
          <w:szCs w:val="21"/>
        </w:rPr>
        <w:t>上周主要信用债发行量大幅减少，一方面源于临近年末配置力量较弱，另一方面源于二级市场收益率高企，企业发行意愿弱化且</w:t>
      </w:r>
      <w:r w:rsidRPr="006C7DDA">
        <w:rPr>
          <w:rFonts w:asciiTheme="minorEastAsia" w:hAnsiTheme="minorEastAsia" w:hint="eastAsia"/>
          <w:szCs w:val="21"/>
        </w:rPr>
        <w:t xml:space="preserve"> 11 </w:t>
      </w:r>
      <w:r w:rsidRPr="006C7DDA">
        <w:rPr>
          <w:rFonts w:asciiTheme="minorEastAsia" w:hAnsiTheme="minorEastAsia"/>
          <w:szCs w:val="21"/>
        </w:rPr>
        <w:t>月中旬两周已释放融资需求。发行利率整体提高，高评级短融和中票均价升量减，AA+以下评级短融和中票则量价齐升。</w:t>
      </w:r>
      <w:r w:rsidRPr="006C7DDA">
        <w:rPr>
          <w:rFonts w:asciiTheme="minorEastAsia" w:hAnsiTheme="minorEastAsia" w:hint="eastAsia"/>
          <w:szCs w:val="21"/>
        </w:rPr>
        <w:t>二级市场方面，</w:t>
      </w:r>
      <w:r w:rsidRPr="006C7DDA">
        <w:rPr>
          <w:rFonts w:asciiTheme="minorEastAsia" w:hAnsiTheme="minorEastAsia"/>
          <w:szCs w:val="21"/>
        </w:rPr>
        <w:t>交投减少，中票和企业债收益率上周均呈倒 V 型；短期票据收益率延续前周的上行趋势，或反映市场情绪依然悲观，低评级公司债收益率陡峭化上行。流动性上，跨月时点央行呵护市场流动性，公开市场基本对冲到期量，全周资金面平衡。</w:t>
      </w:r>
      <w:r w:rsidRPr="006C7DDA">
        <w:rPr>
          <w:rFonts w:asciiTheme="minorEastAsia" w:hAnsiTheme="minorEastAsia" w:hint="eastAsia"/>
          <w:szCs w:val="21"/>
        </w:rPr>
        <w:t>目前</w:t>
      </w:r>
      <w:r w:rsidRPr="006C7DDA">
        <w:rPr>
          <w:rFonts w:asciiTheme="minorEastAsia" w:hAnsiTheme="minorEastAsia"/>
          <w:szCs w:val="21"/>
        </w:rPr>
        <w:t>来看，在政策监管冲击暂缓后，基本面的利好和资金面平稳带动收益率在下半周有所下行，但由于监管隐忧仍在，其他角度也并没有明显利好出现，短期市场继续处在多空博弈行情。展望12月，美联储大概率进行加息，跨年流动性存在不确定性，加上一季度通胀有走高的可能，预计市场整体维持谨慎。</w:t>
      </w:r>
      <w:r w:rsidR="00671459" w:rsidRPr="006C7DDA">
        <w:rPr>
          <w:rFonts w:asciiTheme="minorEastAsia" w:hAnsiTheme="minorEastAsia" w:hint="eastAsia"/>
          <w:szCs w:val="21"/>
        </w:rPr>
        <w:t>继续建议中短</w:t>
      </w:r>
      <w:r w:rsidR="00671459" w:rsidRPr="006C7DDA">
        <w:rPr>
          <w:rFonts w:asciiTheme="minorEastAsia" w:hAnsiTheme="minorEastAsia"/>
          <w:szCs w:val="21"/>
        </w:rPr>
        <w:t>久期和</w:t>
      </w:r>
      <w:r w:rsidR="00E6262F" w:rsidRPr="006C7DDA">
        <w:rPr>
          <w:rFonts w:asciiTheme="minorEastAsia" w:hAnsiTheme="minorEastAsia" w:hint="eastAsia"/>
          <w:szCs w:val="21"/>
        </w:rPr>
        <w:t>适中</w:t>
      </w:r>
      <w:r w:rsidR="00671459" w:rsidRPr="006C7DDA">
        <w:rPr>
          <w:rFonts w:asciiTheme="minorEastAsia" w:hAnsiTheme="minorEastAsia"/>
          <w:szCs w:val="21"/>
        </w:rPr>
        <w:t>杠杆水平，并</w:t>
      </w:r>
      <w:r w:rsidR="00671459" w:rsidRPr="006C7DDA">
        <w:rPr>
          <w:rFonts w:asciiTheme="minorEastAsia" w:hAnsiTheme="minorEastAsia" w:hint="eastAsia"/>
          <w:szCs w:val="21"/>
        </w:rPr>
        <w:t>重点精选信用短券进行配置。</w:t>
      </w:r>
    </w:p>
    <w:p w:rsidR="006C7DDA" w:rsidRDefault="006C7DDA" w:rsidP="009F72FA">
      <w:pPr>
        <w:autoSpaceDE w:val="0"/>
        <w:autoSpaceDN w:val="0"/>
        <w:adjustRightInd w:val="0"/>
        <w:spacing w:line="360" w:lineRule="auto"/>
        <w:ind w:firstLineChars="200" w:firstLine="420"/>
        <w:rPr>
          <w:rFonts w:asciiTheme="minorEastAsia" w:hAnsiTheme="minorEastAsia"/>
          <w:szCs w:val="21"/>
        </w:rPr>
      </w:pPr>
    </w:p>
    <w:p w:rsidR="006C7DDA" w:rsidRDefault="006C7DDA" w:rsidP="006C7DDA">
      <w:pPr>
        <w:widowControl/>
        <w:jc w:val="left"/>
      </w:pPr>
      <w:r w:rsidRPr="006C7DDA">
        <w:rPr>
          <w:rFonts w:asciiTheme="minorEastAsia" w:hAnsiTheme="minorEastAsia" w:hint="eastAsia"/>
          <w:b/>
          <w:szCs w:val="21"/>
        </w:rPr>
        <w:t>声明：</w:t>
      </w:r>
      <w:r>
        <w:t xml:space="preserve"> </w:t>
      </w:r>
    </w:p>
    <w:p w:rsidR="006C7DDA" w:rsidRPr="00FB450D" w:rsidRDefault="006C7DDA" w:rsidP="006C7DDA">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t xml:space="preserve">本报告中的信息均来源于已公开的资料，我公司对这些信息的准确性及完整性不作任何保证。 </w:t>
      </w:r>
    </w:p>
    <w:p w:rsidR="006C7DDA" w:rsidRPr="00FB450D" w:rsidRDefault="006C7DDA" w:rsidP="006C7DDA">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lastRenderedPageBreak/>
        <w:t>在任何情况下，报告中的信息或所表达的意见并不构成证券买卖的出价或询价。在任何情况下，我公司不就报告中的任何投资做出任何形式的担保。本报告内容和意见不构成投资建议，仅供参考，使用前务必请核实，风险自负。</w:t>
      </w:r>
    </w:p>
    <w:p w:rsidR="006C7DDA" w:rsidRPr="00FB450D" w:rsidRDefault="006C7DDA" w:rsidP="006C7DDA">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t>本报告版权归兴银基金管理有限责任公司所有，未获得兴银基金管理有限责任公司事先出面授权，任何人不得对本报告进行任何形式的发布、复制。</w:t>
      </w:r>
    </w:p>
    <w:p w:rsidR="006C7DDA" w:rsidRPr="006C7DDA" w:rsidRDefault="006C7DDA" w:rsidP="009F72FA">
      <w:pPr>
        <w:autoSpaceDE w:val="0"/>
        <w:autoSpaceDN w:val="0"/>
        <w:adjustRightInd w:val="0"/>
        <w:spacing w:line="360" w:lineRule="auto"/>
        <w:ind w:firstLineChars="200" w:firstLine="420"/>
        <w:rPr>
          <w:rFonts w:asciiTheme="minorEastAsia" w:hAnsiTheme="minorEastAsia"/>
          <w:szCs w:val="21"/>
        </w:rPr>
      </w:pPr>
    </w:p>
    <w:sectPr w:rsidR="006C7DDA" w:rsidRPr="006C7DDA" w:rsidSect="00ED1D4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D70" w:rsidRDefault="00590D70" w:rsidP="00B13644">
      <w:r>
        <w:separator/>
      </w:r>
    </w:p>
  </w:endnote>
  <w:endnote w:type="continuationSeparator" w:id="1">
    <w:p w:rsidR="00590D70" w:rsidRDefault="00590D70" w:rsidP="00B13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1130"/>
      <w:docPartObj>
        <w:docPartGallery w:val="Page Numbers (Bottom of Page)"/>
        <w:docPartUnique/>
      </w:docPartObj>
    </w:sdtPr>
    <w:sdtContent>
      <w:p w:rsidR="0086291E" w:rsidRDefault="00DF31C7">
        <w:pPr>
          <w:pStyle w:val="a4"/>
          <w:jc w:val="center"/>
        </w:pPr>
        <w:fldSimple w:instr=" PAGE   \* MERGEFORMAT ">
          <w:r w:rsidR="00231A94" w:rsidRPr="00231A94">
            <w:rPr>
              <w:noProof/>
              <w:lang w:val="zh-CN"/>
            </w:rPr>
            <w:t>7</w:t>
          </w:r>
        </w:fldSimple>
      </w:p>
    </w:sdtContent>
  </w:sdt>
  <w:p w:rsidR="0086291E" w:rsidRDefault="008629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D70" w:rsidRDefault="00590D70" w:rsidP="00B13644">
      <w:r>
        <w:separator/>
      </w:r>
    </w:p>
  </w:footnote>
  <w:footnote w:type="continuationSeparator" w:id="1">
    <w:p w:rsidR="00590D70" w:rsidRDefault="00590D70" w:rsidP="00B13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3644"/>
    <w:rsid w:val="00000C8E"/>
    <w:rsid w:val="000013B9"/>
    <w:rsid w:val="00001647"/>
    <w:rsid w:val="00002838"/>
    <w:rsid w:val="00002DCF"/>
    <w:rsid w:val="00003091"/>
    <w:rsid w:val="00004745"/>
    <w:rsid w:val="000064BE"/>
    <w:rsid w:val="00006ABF"/>
    <w:rsid w:val="00007514"/>
    <w:rsid w:val="00007825"/>
    <w:rsid w:val="0001027C"/>
    <w:rsid w:val="000118A6"/>
    <w:rsid w:val="000122F2"/>
    <w:rsid w:val="0001234A"/>
    <w:rsid w:val="000138E2"/>
    <w:rsid w:val="00015105"/>
    <w:rsid w:val="00016D80"/>
    <w:rsid w:val="000226DD"/>
    <w:rsid w:val="00022D5E"/>
    <w:rsid w:val="00023847"/>
    <w:rsid w:val="00025DBF"/>
    <w:rsid w:val="0003097A"/>
    <w:rsid w:val="000309E9"/>
    <w:rsid w:val="0003191C"/>
    <w:rsid w:val="00034670"/>
    <w:rsid w:val="00035B96"/>
    <w:rsid w:val="00041AA4"/>
    <w:rsid w:val="0004228E"/>
    <w:rsid w:val="00043D38"/>
    <w:rsid w:val="00045851"/>
    <w:rsid w:val="00046104"/>
    <w:rsid w:val="00046787"/>
    <w:rsid w:val="00046B2A"/>
    <w:rsid w:val="000470CF"/>
    <w:rsid w:val="00047A49"/>
    <w:rsid w:val="00050E40"/>
    <w:rsid w:val="00052116"/>
    <w:rsid w:val="000525BF"/>
    <w:rsid w:val="00054012"/>
    <w:rsid w:val="00054075"/>
    <w:rsid w:val="00054D82"/>
    <w:rsid w:val="00060801"/>
    <w:rsid w:val="0006279B"/>
    <w:rsid w:val="000654D2"/>
    <w:rsid w:val="0006578F"/>
    <w:rsid w:val="00065967"/>
    <w:rsid w:val="00066069"/>
    <w:rsid w:val="00066A92"/>
    <w:rsid w:val="00067ACC"/>
    <w:rsid w:val="00070056"/>
    <w:rsid w:val="000714BC"/>
    <w:rsid w:val="000724D4"/>
    <w:rsid w:val="0007650C"/>
    <w:rsid w:val="000827FE"/>
    <w:rsid w:val="00084CB9"/>
    <w:rsid w:val="00087684"/>
    <w:rsid w:val="00090C40"/>
    <w:rsid w:val="00090F94"/>
    <w:rsid w:val="00092D85"/>
    <w:rsid w:val="000946D5"/>
    <w:rsid w:val="00096218"/>
    <w:rsid w:val="000967E0"/>
    <w:rsid w:val="00096F83"/>
    <w:rsid w:val="000A0D8B"/>
    <w:rsid w:val="000A2700"/>
    <w:rsid w:val="000A481B"/>
    <w:rsid w:val="000A55A9"/>
    <w:rsid w:val="000A5C35"/>
    <w:rsid w:val="000A659A"/>
    <w:rsid w:val="000A73CB"/>
    <w:rsid w:val="000A7950"/>
    <w:rsid w:val="000A7E73"/>
    <w:rsid w:val="000B34D9"/>
    <w:rsid w:val="000B3A1D"/>
    <w:rsid w:val="000B4388"/>
    <w:rsid w:val="000B75F1"/>
    <w:rsid w:val="000B7FC5"/>
    <w:rsid w:val="000C0B75"/>
    <w:rsid w:val="000C1BD2"/>
    <w:rsid w:val="000C23CC"/>
    <w:rsid w:val="000C24E4"/>
    <w:rsid w:val="000C5DBB"/>
    <w:rsid w:val="000C6837"/>
    <w:rsid w:val="000D308C"/>
    <w:rsid w:val="000D3700"/>
    <w:rsid w:val="000D3C2B"/>
    <w:rsid w:val="000D5263"/>
    <w:rsid w:val="000D55C1"/>
    <w:rsid w:val="000D5FB8"/>
    <w:rsid w:val="000D7043"/>
    <w:rsid w:val="000E1607"/>
    <w:rsid w:val="000E221F"/>
    <w:rsid w:val="000E243E"/>
    <w:rsid w:val="000E2924"/>
    <w:rsid w:val="000E2A11"/>
    <w:rsid w:val="000E3565"/>
    <w:rsid w:val="000E7237"/>
    <w:rsid w:val="000F0FC6"/>
    <w:rsid w:val="000F31CC"/>
    <w:rsid w:val="000F5D38"/>
    <w:rsid w:val="000F60FB"/>
    <w:rsid w:val="000F689B"/>
    <w:rsid w:val="0010163C"/>
    <w:rsid w:val="00102BCF"/>
    <w:rsid w:val="00104E30"/>
    <w:rsid w:val="001059E4"/>
    <w:rsid w:val="0010772A"/>
    <w:rsid w:val="00107A98"/>
    <w:rsid w:val="0011027B"/>
    <w:rsid w:val="0011321C"/>
    <w:rsid w:val="00113793"/>
    <w:rsid w:val="001149D7"/>
    <w:rsid w:val="00115506"/>
    <w:rsid w:val="00115787"/>
    <w:rsid w:val="00117145"/>
    <w:rsid w:val="001173DE"/>
    <w:rsid w:val="00122406"/>
    <w:rsid w:val="0012517E"/>
    <w:rsid w:val="001253D4"/>
    <w:rsid w:val="001258C3"/>
    <w:rsid w:val="00125A95"/>
    <w:rsid w:val="001264D7"/>
    <w:rsid w:val="0013096F"/>
    <w:rsid w:val="00132F70"/>
    <w:rsid w:val="00135F3A"/>
    <w:rsid w:val="00137256"/>
    <w:rsid w:val="00137BD9"/>
    <w:rsid w:val="00141C34"/>
    <w:rsid w:val="00143FCC"/>
    <w:rsid w:val="001441DE"/>
    <w:rsid w:val="001553CD"/>
    <w:rsid w:val="00160F88"/>
    <w:rsid w:val="0016299B"/>
    <w:rsid w:val="0016458A"/>
    <w:rsid w:val="001662DB"/>
    <w:rsid w:val="00166AC4"/>
    <w:rsid w:val="00167F58"/>
    <w:rsid w:val="00173A38"/>
    <w:rsid w:val="001752F1"/>
    <w:rsid w:val="00175381"/>
    <w:rsid w:val="00175389"/>
    <w:rsid w:val="00175F7D"/>
    <w:rsid w:val="0018070A"/>
    <w:rsid w:val="0019243E"/>
    <w:rsid w:val="001929D3"/>
    <w:rsid w:val="0019360D"/>
    <w:rsid w:val="0019374D"/>
    <w:rsid w:val="00193B65"/>
    <w:rsid w:val="00196AE4"/>
    <w:rsid w:val="001978A1"/>
    <w:rsid w:val="001A0711"/>
    <w:rsid w:val="001A17EC"/>
    <w:rsid w:val="001A19DE"/>
    <w:rsid w:val="001A3B47"/>
    <w:rsid w:val="001A5775"/>
    <w:rsid w:val="001A5E95"/>
    <w:rsid w:val="001A5FCC"/>
    <w:rsid w:val="001B00CC"/>
    <w:rsid w:val="001B22CE"/>
    <w:rsid w:val="001B2736"/>
    <w:rsid w:val="001B2C25"/>
    <w:rsid w:val="001B4F58"/>
    <w:rsid w:val="001B594C"/>
    <w:rsid w:val="001C0D64"/>
    <w:rsid w:val="001C1973"/>
    <w:rsid w:val="001C5AC3"/>
    <w:rsid w:val="001D438D"/>
    <w:rsid w:val="001D47BE"/>
    <w:rsid w:val="001D49C3"/>
    <w:rsid w:val="001D69B3"/>
    <w:rsid w:val="001E302B"/>
    <w:rsid w:val="001E5892"/>
    <w:rsid w:val="001E6D34"/>
    <w:rsid w:val="001F1A9C"/>
    <w:rsid w:val="001F4BD2"/>
    <w:rsid w:val="001F550E"/>
    <w:rsid w:val="00202CA3"/>
    <w:rsid w:val="00203F8C"/>
    <w:rsid w:val="00205E61"/>
    <w:rsid w:val="00212844"/>
    <w:rsid w:val="00214A2C"/>
    <w:rsid w:val="00214F9E"/>
    <w:rsid w:val="00216208"/>
    <w:rsid w:val="00217CBF"/>
    <w:rsid w:val="002205F4"/>
    <w:rsid w:val="00221F63"/>
    <w:rsid w:val="00224F91"/>
    <w:rsid w:val="00226B27"/>
    <w:rsid w:val="002278AD"/>
    <w:rsid w:val="00230FAF"/>
    <w:rsid w:val="00231A94"/>
    <w:rsid w:val="00231F23"/>
    <w:rsid w:val="00233D46"/>
    <w:rsid w:val="00233F68"/>
    <w:rsid w:val="00234DC6"/>
    <w:rsid w:val="00235D72"/>
    <w:rsid w:val="002366C8"/>
    <w:rsid w:val="002372AA"/>
    <w:rsid w:val="00237D1F"/>
    <w:rsid w:val="002408EE"/>
    <w:rsid w:val="00241FBD"/>
    <w:rsid w:val="002442EC"/>
    <w:rsid w:val="00246F05"/>
    <w:rsid w:val="002471EB"/>
    <w:rsid w:val="00253ECD"/>
    <w:rsid w:val="00255652"/>
    <w:rsid w:val="002627B6"/>
    <w:rsid w:val="00263B43"/>
    <w:rsid w:val="00264453"/>
    <w:rsid w:val="0026525D"/>
    <w:rsid w:val="00266D34"/>
    <w:rsid w:val="00267E17"/>
    <w:rsid w:val="002752E6"/>
    <w:rsid w:val="002760FB"/>
    <w:rsid w:val="00276EC6"/>
    <w:rsid w:val="0028203F"/>
    <w:rsid w:val="00286A09"/>
    <w:rsid w:val="00292565"/>
    <w:rsid w:val="00295D62"/>
    <w:rsid w:val="002A206F"/>
    <w:rsid w:val="002A7B51"/>
    <w:rsid w:val="002B0530"/>
    <w:rsid w:val="002B3C50"/>
    <w:rsid w:val="002B5423"/>
    <w:rsid w:val="002B731B"/>
    <w:rsid w:val="002C0C60"/>
    <w:rsid w:val="002C4AEB"/>
    <w:rsid w:val="002C6399"/>
    <w:rsid w:val="002C657D"/>
    <w:rsid w:val="002D1B94"/>
    <w:rsid w:val="002D2E9B"/>
    <w:rsid w:val="002D4E5A"/>
    <w:rsid w:val="002D5808"/>
    <w:rsid w:val="002D6A6B"/>
    <w:rsid w:val="002D7772"/>
    <w:rsid w:val="002E15C3"/>
    <w:rsid w:val="002E47D9"/>
    <w:rsid w:val="002E65CE"/>
    <w:rsid w:val="002E732D"/>
    <w:rsid w:val="002F050C"/>
    <w:rsid w:val="002F11EC"/>
    <w:rsid w:val="002F1505"/>
    <w:rsid w:val="002F23A3"/>
    <w:rsid w:val="002F2820"/>
    <w:rsid w:val="002F3902"/>
    <w:rsid w:val="002F50EC"/>
    <w:rsid w:val="002F5E01"/>
    <w:rsid w:val="002F608D"/>
    <w:rsid w:val="00300059"/>
    <w:rsid w:val="00300F78"/>
    <w:rsid w:val="003025AA"/>
    <w:rsid w:val="00304400"/>
    <w:rsid w:val="0030762E"/>
    <w:rsid w:val="003129AA"/>
    <w:rsid w:val="00312C53"/>
    <w:rsid w:val="003133F5"/>
    <w:rsid w:val="00315A2E"/>
    <w:rsid w:val="0031617E"/>
    <w:rsid w:val="00316ADF"/>
    <w:rsid w:val="00316F98"/>
    <w:rsid w:val="003232AA"/>
    <w:rsid w:val="00326048"/>
    <w:rsid w:val="00327B04"/>
    <w:rsid w:val="00333CCD"/>
    <w:rsid w:val="00335D1C"/>
    <w:rsid w:val="00337BD8"/>
    <w:rsid w:val="00340103"/>
    <w:rsid w:val="00340DB4"/>
    <w:rsid w:val="00341AE2"/>
    <w:rsid w:val="00341C85"/>
    <w:rsid w:val="003426D2"/>
    <w:rsid w:val="00344910"/>
    <w:rsid w:val="00345F59"/>
    <w:rsid w:val="00351000"/>
    <w:rsid w:val="00351C10"/>
    <w:rsid w:val="003522FF"/>
    <w:rsid w:val="0035234F"/>
    <w:rsid w:val="00353EE5"/>
    <w:rsid w:val="00362463"/>
    <w:rsid w:val="00362601"/>
    <w:rsid w:val="003660AA"/>
    <w:rsid w:val="00370F20"/>
    <w:rsid w:val="00373C0A"/>
    <w:rsid w:val="0037415A"/>
    <w:rsid w:val="00374AFA"/>
    <w:rsid w:val="00377676"/>
    <w:rsid w:val="00377966"/>
    <w:rsid w:val="00377B10"/>
    <w:rsid w:val="0038106B"/>
    <w:rsid w:val="00391D21"/>
    <w:rsid w:val="003948F5"/>
    <w:rsid w:val="003972D1"/>
    <w:rsid w:val="003A1D76"/>
    <w:rsid w:val="003A3FEF"/>
    <w:rsid w:val="003A5114"/>
    <w:rsid w:val="003A624D"/>
    <w:rsid w:val="003B1B0F"/>
    <w:rsid w:val="003B28AC"/>
    <w:rsid w:val="003B2F76"/>
    <w:rsid w:val="003B3478"/>
    <w:rsid w:val="003B54CB"/>
    <w:rsid w:val="003B72F0"/>
    <w:rsid w:val="003B7848"/>
    <w:rsid w:val="003C3A57"/>
    <w:rsid w:val="003C4CA7"/>
    <w:rsid w:val="003C7364"/>
    <w:rsid w:val="003D4B6E"/>
    <w:rsid w:val="003D5E6F"/>
    <w:rsid w:val="003D68FB"/>
    <w:rsid w:val="003D76A1"/>
    <w:rsid w:val="003D7D75"/>
    <w:rsid w:val="003D7F0B"/>
    <w:rsid w:val="003E235B"/>
    <w:rsid w:val="003E4009"/>
    <w:rsid w:val="003E581C"/>
    <w:rsid w:val="003F103F"/>
    <w:rsid w:val="003F14DA"/>
    <w:rsid w:val="003F2CBA"/>
    <w:rsid w:val="003F3D01"/>
    <w:rsid w:val="003F4354"/>
    <w:rsid w:val="003F4ED4"/>
    <w:rsid w:val="0040126E"/>
    <w:rsid w:val="00401FAC"/>
    <w:rsid w:val="00402BC2"/>
    <w:rsid w:val="0040335C"/>
    <w:rsid w:val="00404069"/>
    <w:rsid w:val="00405DCE"/>
    <w:rsid w:val="00407FC1"/>
    <w:rsid w:val="00410B65"/>
    <w:rsid w:val="00411660"/>
    <w:rsid w:val="0041323F"/>
    <w:rsid w:val="0041454F"/>
    <w:rsid w:val="00420FA9"/>
    <w:rsid w:val="00421BB8"/>
    <w:rsid w:val="004238E8"/>
    <w:rsid w:val="004243AC"/>
    <w:rsid w:val="0043028E"/>
    <w:rsid w:val="0043169D"/>
    <w:rsid w:val="0043228B"/>
    <w:rsid w:val="00432E25"/>
    <w:rsid w:val="004350C9"/>
    <w:rsid w:val="0043747D"/>
    <w:rsid w:val="00437538"/>
    <w:rsid w:val="00441401"/>
    <w:rsid w:val="00441FF8"/>
    <w:rsid w:val="004445CF"/>
    <w:rsid w:val="004450AE"/>
    <w:rsid w:val="00445A5A"/>
    <w:rsid w:val="00447BF1"/>
    <w:rsid w:val="004510DD"/>
    <w:rsid w:val="004541EF"/>
    <w:rsid w:val="00454E53"/>
    <w:rsid w:val="00454E6E"/>
    <w:rsid w:val="00455F07"/>
    <w:rsid w:val="00457A4C"/>
    <w:rsid w:val="00457F9B"/>
    <w:rsid w:val="00462719"/>
    <w:rsid w:val="00462EC7"/>
    <w:rsid w:val="00465FE5"/>
    <w:rsid w:val="00466BD5"/>
    <w:rsid w:val="00471600"/>
    <w:rsid w:val="00473410"/>
    <w:rsid w:val="00474D40"/>
    <w:rsid w:val="00475137"/>
    <w:rsid w:val="004769DB"/>
    <w:rsid w:val="00476D94"/>
    <w:rsid w:val="00480D30"/>
    <w:rsid w:val="00482D8D"/>
    <w:rsid w:val="00484207"/>
    <w:rsid w:val="00484350"/>
    <w:rsid w:val="0048758A"/>
    <w:rsid w:val="00487B8C"/>
    <w:rsid w:val="00490FDA"/>
    <w:rsid w:val="004916F4"/>
    <w:rsid w:val="00491B9A"/>
    <w:rsid w:val="00492C20"/>
    <w:rsid w:val="00493098"/>
    <w:rsid w:val="004941F1"/>
    <w:rsid w:val="004A0AB8"/>
    <w:rsid w:val="004A4E03"/>
    <w:rsid w:val="004B0E42"/>
    <w:rsid w:val="004B108A"/>
    <w:rsid w:val="004B4E3A"/>
    <w:rsid w:val="004B72EC"/>
    <w:rsid w:val="004B794C"/>
    <w:rsid w:val="004C08D3"/>
    <w:rsid w:val="004C1D1D"/>
    <w:rsid w:val="004C2AE4"/>
    <w:rsid w:val="004C3B17"/>
    <w:rsid w:val="004C6089"/>
    <w:rsid w:val="004C717B"/>
    <w:rsid w:val="004D0F32"/>
    <w:rsid w:val="004D17A8"/>
    <w:rsid w:val="004D2A73"/>
    <w:rsid w:val="004D2C83"/>
    <w:rsid w:val="004D405A"/>
    <w:rsid w:val="004D417B"/>
    <w:rsid w:val="004D58BB"/>
    <w:rsid w:val="004D65E4"/>
    <w:rsid w:val="004D7CF4"/>
    <w:rsid w:val="004E013D"/>
    <w:rsid w:val="004E0562"/>
    <w:rsid w:val="004E127D"/>
    <w:rsid w:val="004E4D92"/>
    <w:rsid w:val="004E5662"/>
    <w:rsid w:val="004F2432"/>
    <w:rsid w:val="004F3CB3"/>
    <w:rsid w:val="004F4482"/>
    <w:rsid w:val="004F58CB"/>
    <w:rsid w:val="004F6E89"/>
    <w:rsid w:val="004F7558"/>
    <w:rsid w:val="00500823"/>
    <w:rsid w:val="00501178"/>
    <w:rsid w:val="00501987"/>
    <w:rsid w:val="00503B22"/>
    <w:rsid w:val="00504AD4"/>
    <w:rsid w:val="00504E46"/>
    <w:rsid w:val="0050535E"/>
    <w:rsid w:val="00506BDB"/>
    <w:rsid w:val="0051566D"/>
    <w:rsid w:val="005156E6"/>
    <w:rsid w:val="00515E59"/>
    <w:rsid w:val="00515F20"/>
    <w:rsid w:val="00517C71"/>
    <w:rsid w:val="00520229"/>
    <w:rsid w:val="005233BA"/>
    <w:rsid w:val="00530FA7"/>
    <w:rsid w:val="0053515F"/>
    <w:rsid w:val="005374FF"/>
    <w:rsid w:val="005424FA"/>
    <w:rsid w:val="005426B5"/>
    <w:rsid w:val="00544C6D"/>
    <w:rsid w:val="00545813"/>
    <w:rsid w:val="00547BC6"/>
    <w:rsid w:val="00550252"/>
    <w:rsid w:val="005504DF"/>
    <w:rsid w:val="005504EB"/>
    <w:rsid w:val="005514B0"/>
    <w:rsid w:val="00553247"/>
    <w:rsid w:val="005537D9"/>
    <w:rsid w:val="00553AC7"/>
    <w:rsid w:val="005568CB"/>
    <w:rsid w:val="0055748D"/>
    <w:rsid w:val="005602BA"/>
    <w:rsid w:val="005608DD"/>
    <w:rsid w:val="00560E08"/>
    <w:rsid w:val="0056111C"/>
    <w:rsid w:val="00561EBF"/>
    <w:rsid w:val="00562C38"/>
    <w:rsid w:val="005631C9"/>
    <w:rsid w:val="0056609A"/>
    <w:rsid w:val="00567213"/>
    <w:rsid w:val="00570177"/>
    <w:rsid w:val="005714E4"/>
    <w:rsid w:val="0057254F"/>
    <w:rsid w:val="005749D5"/>
    <w:rsid w:val="00575172"/>
    <w:rsid w:val="00576C4A"/>
    <w:rsid w:val="00580FBD"/>
    <w:rsid w:val="0058133A"/>
    <w:rsid w:val="0058469D"/>
    <w:rsid w:val="005850C9"/>
    <w:rsid w:val="00585A17"/>
    <w:rsid w:val="00585C08"/>
    <w:rsid w:val="00585F1E"/>
    <w:rsid w:val="0058751B"/>
    <w:rsid w:val="00590D70"/>
    <w:rsid w:val="00591323"/>
    <w:rsid w:val="00591A21"/>
    <w:rsid w:val="00596953"/>
    <w:rsid w:val="005A06E7"/>
    <w:rsid w:val="005A0993"/>
    <w:rsid w:val="005A0F37"/>
    <w:rsid w:val="005A1330"/>
    <w:rsid w:val="005A3A90"/>
    <w:rsid w:val="005B66D3"/>
    <w:rsid w:val="005B7B0A"/>
    <w:rsid w:val="005B7EC0"/>
    <w:rsid w:val="005C2561"/>
    <w:rsid w:val="005C7224"/>
    <w:rsid w:val="005D1D50"/>
    <w:rsid w:val="005D3F45"/>
    <w:rsid w:val="005D5D43"/>
    <w:rsid w:val="005D6D3E"/>
    <w:rsid w:val="005D7F60"/>
    <w:rsid w:val="005E01DE"/>
    <w:rsid w:val="005E2D39"/>
    <w:rsid w:val="005E3A55"/>
    <w:rsid w:val="005E3FCE"/>
    <w:rsid w:val="005E513F"/>
    <w:rsid w:val="005E5468"/>
    <w:rsid w:val="005E64C5"/>
    <w:rsid w:val="005F0739"/>
    <w:rsid w:val="005F0918"/>
    <w:rsid w:val="005F1334"/>
    <w:rsid w:val="005F3DB2"/>
    <w:rsid w:val="00600CFB"/>
    <w:rsid w:val="006031DE"/>
    <w:rsid w:val="00606D30"/>
    <w:rsid w:val="0060774E"/>
    <w:rsid w:val="00611259"/>
    <w:rsid w:val="006112D3"/>
    <w:rsid w:val="006113C3"/>
    <w:rsid w:val="00612418"/>
    <w:rsid w:val="00615496"/>
    <w:rsid w:val="0061556C"/>
    <w:rsid w:val="00615FAF"/>
    <w:rsid w:val="00616149"/>
    <w:rsid w:val="00617472"/>
    <w:rsid w:val="00617D5F"/>
    <w:rsid w:val="00620334"/>
    <w:rsid w:val="006212E3"/>
    <w:rsid w:val="006226E4"/>
    <w:rsid w:val="00623526"/>
    <w:rsid w:val="00623BCE"/>
    <w:rsid w:val="00627442"/>
    <w:rsid w:val="00631AEF"/>
    <w:rsid w:val="00637452"/>
    <w:rsid w:val="00637F51"/>
    <w:rsid w:val="006455FF"/>
    <w:rsid w:val="00646006"/>
    <w:rsid w:val="00647704"/>
    <w:rsid w:val="00651270"/>
    <w:rsid w:val="00653065"/>
    <w:rsid w:val="0065360B"/>
    <w:rsid w:val="00654678"/>
    <w:rsid w:val="00655870"/>
    <w:rsid w:val="006565AB"/>
    <w:rsid w:val="00656E22"/>
    <w:rsid w:val="00656F1D"/>
    <w:rsid w:val="0066443E"/>
    <w:rsid w:val="0066637E"/>
    <w:rsid w:val="0066767D"/>
    <w:rsid w:val="00670ACB"/>
    <w:rsid w:val="00671459"/>
    <w:rsid w:val="00674502"/>
    <w:rsid w:val="0067744C"/>
    <w:rsid w:val="00685598"/>
    <w:rsid w:val="00686093"/>
    <w:rsid w:val="00690433"/>
    <w:rsid w:val="00690827"/>
    <w:rsid w:val="00690D77"/>
    <w:rsid w:val="0069205C"/>
    <w:rsid w:val="00692926"/>
    <w:rsid w:val="00693B57"/>
    <w:rsid w:val="00695287"/>
    <w:rsid w:val="006A0935"/>
    <w:rsid w:val="006A21E8"/>
    <w:rsid w:val="006A3601"/>
    <w:rsid w:val="006A3B4B"/>
    <w:rsid w:val="006A3DD1"/>
    <w:rsid w:val="006A43D9"/>
    <w:rsid w:val="006A6FDB"/>
    <w:rsid w:val="006A7E79"/>
    <w:rsid w:val="006B1692"/>
    <w:rsid w:val="006B33A5"/>
    <w:rsid w:val="006B6818"/>
    <w:rsid w:val="006B7101"/>
    <w:rsid w:val="006C3961"/>
    <w:rsid w:val="006C5507"/>
    <w:rsid w:val="006C5615"/>
    <w:rsid w:val="006C5D2C"/>
    <w:rsid w:val="006C7AA6"/>
    <w:rsid w:val="006C7DDA"/>
    <w:rsid w:val="006D0D7D"/>
    <w:rsid w:val="006D4A2E"/>
    <w:rsid w:val="006D791D"/>
    <w:rsid w:val="006E08B9"/>
    <w:rsid w:val="006E0F09"/>
    <w:rsid w:val="006E15F9"/>
    <w:rsid w:val="006E33E5"/>
    <w:rsid w:val="006E35D2"/>
    <w:rsid w:val="006E4278"/>
    <w:rsid w:val="006E5910"/>
    <w:rsid w:val="006E7296"/>
    <w:rsid w:val="006F1FF0"/>
    <w:rsid w:val="006F32A4"/>
    <w:rsid w:val="006F3543"/>
    <w:rsid w:val="006F55D7"/>
    <w:rsid w:val="0070022F"/>
    <w:rsid w:val="00700970"/>
    <w:rsid w:val="007030F8"/>
    <w:rsid w:val="00710888"/>
    <w:rsid w:val="00710CA2"/>
    <w:rsid w:val="007113E5"/>
    <w:rsid w:val="00711AEC"/>
    <w:rsid w:val="007126D5"/>
    <w:rsid w:val="0071437F"/>
    <w:rsid w:val="00715855"/>
    <w:rsid w:val="007167DF"/>
    <w:rsid w:val="007208AB"/>
    <w:rsid w:val="007214EE"/>
    <w:rsid w:val="007226F3"/>
    <w:rsid w:val="00723BE8"/>
    <w:rsid w:val="007270F8"/>
    <w:rsid w:val="0072739C"/>
    <w:rsid w:val="0072778F"/>
    <w:rsid w:val="007317C0"/>
    <w:rsid w:val="007349E4"/>
    <w:rsid w:val="00740D4D"/>
    <w:rsid w:val="00741793"/>
    <w:rsid w:val="007432F6"/>
    <w:rsid w:val="007440FC"/>
    <w:rsid w:val="00744C9F"/>
    <w:rsid w:val="0074656D"/>
    <w:rsid w:val="007519B2"/>
    <w:rsid w:val="00753042"/>
    <w:rsid w:val="00764EE7"/>
    <w:rsid w:val="0076619C"/>
    <w:rsid w:val="007679D7"/>
    <w:rsid w:val="007711A5"/>
    <w:rsid w:val="007741DB"/>
    <w:rsid w:val="00774E33"/>
    <w:rsid w:val="00776139"/>
    <w:rsid w:val="0077723A"/>
    <w:rsid w:val="007777F2"/>
    <w:rsid w:val="00777C6F"/>
    <w:rsid w:val="0078159D"/>
    <w:rsid w:val="00782673"/>
    <w:rsid w:val="00782865"/>
    <w:rsid w:val="00782F40"/>
    <w:rsid w:val="007907BA"/>
    <w:rsid w:val="007932E7"/>
    <w:rsid w:val="007937DE"/>
    <w:rsid w:val="00794A44"/>
    <w:rsid w:val="007A0717"/>
    <w:rsid w:val="007A114A"/>
    <w:rsid w:val="007A13CF"/>
    <w:rsid w:val="007A1695"/>
    <w:rsid w:val="007A3E4D"/>
    <w:rsid w:val="007A58D9"/>
    <w:rsid w:val="007A7C1F"/>
    <w:rsid w:val="007B13B2"/>
    <w:rsid w:val="007B1CBF"/>
    <w:rsid w:val="007B2BDD"/>
    <w:rsid w:val="007B5F16"/>
    <w:rsid w:val="007B78A3"/>
    <w:rsid w:val="007C0AAE"/>
    <w:rsid w:val="007C2AA3"/>
    <w:rsid w:val="007C6D73"/>
    <w:rsid w:val="007D123F"/>
    <w:rsid w:val="007D1331"/>
    <w:rsid w:val="007D3087"/>
    <w:rsid w:val="007D3193"/>
    <w:rsid w:val="007D33D1"/>
    <w:rsid w:val="007D3CF1"/>
    <w:rsid w:val="007E1A99"/>
    <w:rsid w:val="007E2487"/>
    <w:rsid w:val="007E286F"/>
    <w:rsid w:val="007E2CE7"/>
    <w:rsid w:val="007E48DC"/>
    <w:rsid w:val="007E57CD"/>
    <w:rsid w:val="007E59CC"/>
    <w:rsid w:val="007E605D"/>
    <w:rsid w:val="007E7458"/>
    <w:rsid w:val="007E7B1B"/>
    <w:rsid w:val="007F14ED"/>
    <w:rsid w:val="007F1874"/>
    <w:rsid w:val="007F18E8"/>
    <w:rsid w:val="007F6178"/>
    <w:rsid w:val="007F6457"/>
    <w:rsid w:val="007F6AB3"/>
    <w:rsid w:val="007F7AAC"/>
    <w:rsid w:val="00803153"/>
    <w:rsid w:val="00805E8E"/>
    <w:rsid w:val="0080607E"/>
    <w:rsid w:val="0080745E"/>
    <w:rsid w:val="00811D63"/>
    <w:rsid w:val="00812ECD"/>
    <w:rsid w:val="00815165"/>
    <w:rsid w:val="00817585"/>
    <w:rsid w:val="0081759F"/>
    <w:rsid w:val="0082046F"/>
    <w:rsid w:val="00820D2C"/>
    <w:rsid w:val="00821950"/>
    <w:rsid w:val="00823728"/>
    <w:rsid w:val="008304C9"/>
    <w:rsid w:val="00831530"/>
    <w:rsid w:val="00832D2D"/>
    <w:rsid w:val="00834FFB"/>
    <w:rsid w:val="00836269"/>
    <w:rsid w:val="00837186"/>
    <w:rsid w:val="00837788"/>
    <w:rsid w:val="00842AFE"/>
    <w:rsid w:val="00843111"/>
    <w:rsid w:val="0084319C"/>
    <w:rsid w:val="008440BF"/>
    <w:rsid w:val="00845DF0"/>
    <w:rsid w:val="008532CC"/>
    <w:rsid w:val="00853A57"/>
    <w:rsid w:val="0085485F"/>
    <w:rsid w:val="00854AE7"/>
    <w:rsid w:val="00856FE7"/>
    <w:rsid w:val="008570EC"/>
    <w:rsid w:val="00862726"/>
    <w:rsid w:val="0086291E"/>
    <w:rsid w:val="00866B75"/>
    <w:rsid w:val="00870877"/>
    <w:rsid w:val="0087287B"/>
    <w:rsid w:val="008747FC"/>
    <w:rsid w:val="00874998"/>
    <w:rsid w:val="00876DC5"/>
    <w:rsid w:val="00880E00"/>
    <w:rsid w:val="00883EFE"/>
    <w:rsid w:val="008841CC"/>
    <w:rsid w:val="0088492D"/>
    <w:rsid w:val="00890396"/>
    <w:rsid w:val="0089426C"/>
    <w:rsid w:val="00894360"/>
    <w:rsid w:val="00895118"/>
    <w:rsid w:val="008A0EEE"/>
    <w:rsid w:val="008A39D0"/>
    <w:rsid w:val="008A6455"/>
    <w:rsid w:val="008A72DF"/>
    <w:rsid w:val="008A74D0"/>
    <w:rsid w:val="008B04A4"/>
    <w:rsid w:val="008B4374"/>
    <w:rsid w:val="008B4FCE"/>
    <w:rsid w:val="008B5B3C"/>
    <w:rsid w:val="008B5C31"/>
    <w:rsid w:val="008B66E7"/>
    <w:rsid w:val="008B695F"/>
    <w:rsid w:val="008C0917"/>
    <w:rsid w:val="008C3F3E"/>
    <w:rsid w:val="008C43AE"/>
    <w:rsid w:val="008D3DE0"/>
    <w:rsid w:val="008D4D88"/>
    <w:rsid w:val="008D5FA5"/>
    <w:rsid w:val="008D68B3"/>
    <w:rsid w:val="008D7C7D"/>
    <w:rsid w:val="008E2986"/>
    <w:rsid w:val="008E2A9A"/>
    <w:rsid w:val="008E2AE3"/>
    <w:rsid w:val="008E3ECE"/>
    <w:rsid w:val="008E54E2"/>
    <w:rsid w:val="008E5D3C"/>
    <w:rsid w:val="008E5E4C"/>
    <w:rsid w:val="008E7FBE"/>
    <w:rsid w:val="008F0E32"/>
    <w:rsid w:val="008F10CB"/>
    <w:rsid w:val="008F1EAF"/>
    <w:rsid w:val="008F7AAE"/>
    <w:rsid w:val="00903991"/>
    <w:rsid w:val="009055C0"/>
    <w:rsid w:val="00905E5B"/>
    <w:rsid w:val="00910EE4"/>
    <w:rsid w:val="009111EC"/>
    <w:rsid w:val="00912AC8"/>
    <w:rsid w:val="00916C5C"/>
    <w:rsid w:val="0092019F"/>
    <w:rsid w:val="0092077F"/>
    <w:rsid w:val="00921422"/>
    <w:rsid w:val="00926232"/>
    <w:rsid w:val="00926AA0"/>
    <w:rsid w:val="00927797"/>
    <w:rsid w:val="0093525F"/>
    <w:rsid w:val="00937945"/>
    <w:rsid w:val="009401A5"/>
    <w:rsid w:val="009411C6"/>
    <w:rsid w:val="009415EB"/>
    <w:rsid w:val="00945A70"/>
    <w:rsid w:val="00947D22"/>
    <w:rsid w:val="009513AD"/>
    <w:rsid w:val="00951F8A"/>
    <w:rsid w:val="00953571"/>
    <w:rsid w:val="0095394F"/>
    <w:rsid w:val="0095467B"/>
    <w:rsid w:val="00955DA2"/>
    <w:rsid w:val="00956060"/>
    <w:rsid w:val="00957C2B"/>
    <w:rsid w:val="00960F53"/>
    <w:rsid w:val="00961499"/>
    <w:rsid w:val="00962DDC"/>
    <w:rsid w:val="009634CA"/>
    <w:rsid w:val="0096367A"/>
    <w:rsid w:val="00964D4A"/>
    <w:rsid w:val="00967765"/>
    <w:rsid w:val="00974C8F"/>
    <w:rsid w:val="00974F42"/>
    <w:rsid w:val="00975FDC"/>
    <w:rsid w:val="009803A0"/>
    <w:rsid w:val="00981D8D"/>
    <w:rsid w:val="00982973"/>
    <w:rsid w:val="00984BE3"/>
    <w:rsid w:val="009869C6"/>
    <w:rsid w:val="009869E6"/>
    <w:rsid w:val="00987605"/>
    <w:rsid w:val="00992146"/>
    <w:rsid w:val="009922E8"/>
    <w:rsid w:val="009924B3"/>
    <w:rsid w:val="009934F8"/>
    <w:rsid w:val="00993AC2"/>
    <w:rsid w:val="00993F74"/>
    <w:rsid w:val="0099523F"/>
    <w:rsid w:val="00995599"/>
    <w:rsid w:val="00996639"/>
    <w:rsid w:val="009A0145"/>
    <w:rsid w:val="009A31B7"/>
    <w:rsid w:val="009A59E1"/>
    <w:rsid w:val="009A63BC"/>
    <w:rsid w:val="009A70D3"/>
    <w:rsid w:val="009A75D2"/>
    <w:rsid w:val="009B1521"/>
    <w:rsid w:val="009B4530"/>
    <w:rsid w:val="009C023F"/>
    <w:rsid w:val="009C6EB4"/>
    <w:rsid w:val="009D14FF"/>
    <w:rsid w:val="009D4ECC"/>
    <w:rsid w:val="009D7642"/>
    <w:rsid w:val="009E0FC5"/>
    <w:rsid w:val="009F3D87"/>
    <w:rsid w:val="009F43E8"/>
    <w:rsid w:val="009F46F6"/>
    <w:rsid w:val="009F4BAF"/>
    <w:rsid w:val="009F72FA"/>
    <w:rsid w:val="009F773B"/>
    <w:rsid w:val="00A048F4"/>
    <w:rsid w:val="00A04DB1"/>
    <w:rsid w:val="00A060C4"/>
    <w:rsid w:val="00A07923"/>
    <w:rsid w:val="00A11997"/>
    <w:rsid w:val="00A1372F"/>
    <w:rsid w:val="00A15487"/>
    <w:rsid w:val="00A15C9F"/>
    <w:rsid w:val="00A2202D"/>
    <w:rsid w:val="00A22DA7"/>
    <w:rsid w:val="00A23760"/>
    <w:rsid w:val="00A23EF0"/>
    <w:rsid w:val="00A2434A"/>
    <w:rsid w:val="00A262F0"/>
    <w:rsid w:val="00A327DD"/>
    <w:rsid w:val="00A32FAD"/>
    <w:rsid w:val="00A3379E"/>
    <w:rsid w:val="00A415CE"/>
    <w:rsid w:val="00A46231"/>
    <w:rsid w:val="00A4643E"/>
    <w:rsid w:val="00A5166E"/>
    <w:rsid w:val="00A51B2F"/>
    <w:rsid w:val="00A525AE"/>
    <w:rsid w:val="00A53C3E"/>
    <w:rsid w:val="00A5476D"/>
    <w:rsid w:val="00A56A5E"/>
    <w:rsid w:val="00A56E30"/>
    <w:rsid w:val="00A62B82"/>
    <w:rsid w:val="00A660F4"/>
    <w:rsid w:val="00A66B6A"/>
    <w:rsid w:val="00A70974"/>
    <w:rsid w:val="00A7264E"/>
    <w:rsid w:val="00A728E8"/>
    <w:rsid w:val="00A72A3E"/>
    <w:rsid w:val="00A73C2D"/>
    <w:rsid w:val="00A743EA"/>
    <w:rsid w:val="00A74ED0"/>
    <w:rsid w:val="00A757E3"/>
    <w:rsid w:val="00A77099"/>
    <w:rsid w:val="00A7772F"/>
    <w:rsid w:val="00A8321D"/>
    <w:rsid w:val="00A83CAB"/>
    <w:rsid w:val="00A850E1"/>
    <w:rsid w:val="00A85F8E"/>
    <w:rsid w:val="00A904B4"/>
    <w:rsid w:val="00A90C65"/>
    <w:rsid w:val="00A9525D"/>
    <w:rsid w:val="00A95AF7"/>
    <w:rsid w:val="00AA148C"/>
    <w:rsid w:val="00AA1F9D"/>
    <w:rsid w:val="00AA4781"/>
    <w:rsid w:val="00AA4FB4"/>
    <w:rsid w:val="00AA5071"/>
    <w:rsid w:val="00AA55B3"/>
    <w:rsid w:val="00AA5B8E"/>
    <w:rsid w:val="00AA6B4D"/>
    <w:rsid w:val="00AB202F"/>
    <w:rsid w:val="00AB3753"/>
    <w:rsid w:val="00AB3B4D"/>
    <w:rsid w:val="00AC1D3E"/>
    <w:rsid w:val="00AC293B"/>
    <w:rsid w:val="00AC40B9"/>
    <w:rsid w:val="00AC4148"/>
    <w:rsid w:val="00AC527D"/>
    <w:rsid w:val="00AC53E9"/>
    <w:rsid w:val="00AC597B"/>
    <w:rsid w:val="00AC5BF5"/>
    <w:rsid w:val="00AC602A"/>
    <w:rsid w:val="00AD0749"/>
    <w:rsid w:val="00AD33A5"/>
    <w:rsid w:val="00AD420C"/>
    <w:rsid w:val="00AD6201"/>
    <w:rsid w:val="00AD6CB7"/>
    <w:rsid w:val="00AE40C3"/>
    <w:rsid w:val="00AE7C06"/>
    <w:rsid w:val="00AF12BE"/>
    <w:rsid w:val="00AF1A4F"/>
    <w:rsid w:val="00AF35D7"/>
    <w:rsid w:val="00AF3F77"/>
    <w:rsid w:val="00AF4236"/>
    <w:rsid w:val="00AF5B25"/>
    <w:rsid w:val="00AF7EE6"/>
    <w:rsid w:val="00AF7F30"/>
    <w:rsid w:val="00B011AB"/>
    <w:rsid w:val="00B030E1"/>
    <w:rsid w:val="00B10B84"/>
    <w:rsid w:val="00B12BC4"/>
    <w:rsid w:val="00B13284"/>
    <w:rsid w:val="00B13644"/>
    <w:rsid w:val="00B15666"/>
    <w:rsid w:val="00B174A3"/>
    <w:rsid w:val="00B20321"/>
    <w:rsid w:val="00B205E8"/>
    <w:rsid w:val="00B21E2E"/>
    <w:rsid w:val="00B22B45"/>
    <w:rsid w:val="00B23B9F"/>
    <w:rsid w:val="00B24AA3"/>
    <w:rsid w:val="00B25F6F"/>
    <w:rsid w:val="00B2654E"/>
    <w:rsid w:val="00B26901"/>
    <w:rsid w:val="00B27745"/>
    <w:rsid w:val="00B32157"/>
    <w:rsid w:val="00B326A3"/>
    <w:rsid w:val="00B330C0"/>
    <w:rsid w:val="00B335C8"/>
    <w:rsid w:val="00B36719"/>
    <w:rsid w:val="00B378A9"/>
    <w:rsid w:val="00B41501"/>
    <w:rsid w:val="00B41F99"/>
    <w:rsid w:val="00B441E7"/>
    <w:rsid w:val="00B45004"/>
    <w:rsid w:val="00B468AE"/>
    <w:rsid w:val="00B50FE6"/>
    <w:rsid w:val="00B52C7E"/>
    <w:rsid w:val="00B52D74"/>
    <w:rsid w:val="00B53AAA"/>
    <w:rsid w:val="00B60205"/>
    <w:rsid w:val="00B604DE"/>
    <w:rsid w:val="00B6501B"/>
    <w:rsid w:val="00B6537B"/>
    <w:rsid w:val="00B67BBC"/>
    <w:rsid w:val="00B70084"/>
    <w:rsid w:val="00B7050E"/>
    <w:rsid w:val="00B73A55"/>
    <w:rsid w:val="00B778F3"/>
    <w:rsid w:val="00B833B9"/>
    <w:rsid w:val="00B90EE4"/>
    <w:rsid w:val="00B92794"/>
    <w:rsid w:val="00B964C4"/>
    <w:rsid w:val="00BA4A13"/>
    <w:rsid w:val="00BA5289"/>
    <w:rsid w:val="00BA71DD"/>
    <w:rsid w:val="00BB0783"/>
    <w:rsid w:val="00BB0D48"/>
    <w:rsid w:val="00BB3103"/>
    <w:rsid w:val="00BB35A7"/>
    <w:rsid w:val="00BB42D5"/>
    <w:rsid w:val="00BB42E2"/>
    <w:rsid w:val="00BB598B"/>
    <w:rsid w:val="00BC177D"/>
    <w:rsid w:val="00BC2805"/>
    <w:rsid w:val="00BC5F16"/>
    <w:rsid w:val="00BD2AAE"/>
    <w:rsid w:val="00BD3600"/>
    <w:rsid w:val="00BD4B3D"/>
    <w:rsid w:val="00BD5318"/>
    <w:rsid w:val="00BD597A"/>
    <w:rsid w:val="00BD5F00"/>
    <w:rsid w:val="00BD64BD"/>
    <w:rsid w:val="00BD7268"/>
    <w:rsid w:val="00BD7578"/>
    <w:rsid w:val="00BD7B86"/>
    <w:rsid w:val="00BE15F4"/>
    <w:rsid w:val="00BE201B"/>
    <w:rsid w:val="00BE27FF"/>
    <w:rsid w:val="00BE2904"/>
    <w:rsid w:val="00BE2EC9"/>
    <w:rsid w:val="00BE36AE"/>
    <w:rsid w:val="00BE4354"/>
    <w:rsid w:val="00BE4A82"/>
    <w:rsid w:val="00BE5641"/>
    <w:rsid w:val="00BE6329"/>
    <w:rsid w:val="00BF0B71"/>
    <w:rsid w:val="00BF2A47"/>
    <w:rsid w:val="00BF565A"/>
    <w:rsid w:val="00BF794C"/>
    <w:rsid w:val="00C003F9"/>
    <w:rsid w:val="00C0209F"/>
    <w:rsid w:val="00C06EE5"/>
    <w:rsid w:val="00C077F2"/>
    <w:rsid w:val="00C103CB"/>
    <w:rsid w:val="00C103DF"/>
    <w:rsid w:val="00C111FF"/>
    <w:rsid w:val="00C13A75"/>
    <w:rsid w:val="00C1784A"/>
    <w:rsid w:val="00C17B8F"/>
    <w:rsid w:val="00C17E30"/>
    <w:rsid w:val="00C20922"/>
    <w:rsid w:val="00C21444"/>
    <w:rsid w:val="00C226F6"/>
    <w:rsid w:val="00C2373D"/>
    <w:rsid w:val="00C240CC"/>
    <w:rsid w:val="00C240DD"/>
    <w:rsid w:val="00C307E0"/>
    <w:rsid w:val="00C32957"/>
    <w:rsid w:val="00C33CC5"/>
    <w:rsid w:val="00C33D4A"/>
    <w:rsid w:val="00C33E86"/>
    <w:rsid w:val="00C33FE8"/>
    <w:rsid w:val="00C35CDC"/>
    <w:rsid w:val="00C37BA7"/>
    <w:rsid w:val="00C421B9"/>
    <w:rsid w:val="00C43A06"/>
    <w:rsid w:val="00C44457"/>
    <w:rsid w:val="00C44E06"/>
    <w:rsid w:val="00C45963"/>
    <w:rsid w:val="00C50362"/>
    <w:rsid w:val="00C5150A"/>
    <w:rsid w:val="00C51821"/>
    <w:rsid w:val="00C51D17"/>
    <w:rsid w:val="00C520E2"/>
    <w:rsid w:val="00C60343"/>
    <w:rsid w:val="00C60961"/>
    <w:rsid w:val="00C67EE5"/>
    <w:rsid w:val="00C718B2"/>
    <w:rsid w:val="00C750C1"/>
    <w:rsid w:val="00C7555C"/>
    <w:rsid w:val="00C80921"/>
    <w:rsid w:val="00C815FA"/>
    <w:rsid w:val="00C817C7"/>
    <w:rsid w:val="00C81E7B"/>
    <w:rsid w:val="00C843DB"/>
    <w:rsid w:val="00C878D6"/>
    <w:rsid w:val="00C91E8E"/>
    <w:rsid w:val="00C95020"/>
    <w:rsid w:val="00C958DB"/>
    <w:rsid w:val="00C968DE"/>
    <w:rsid w:val="00C97591"/>
    <w:rsid w:val="00CA01B0"/>
    <w:rsid w:val="00CA1B2C"/>
    <w:rsid w:val="00CA4597"/>
    <w:rsid w:val="00CB1AD4"/>
    <w:rsid w:val="00CB3462"/>
    <w:rsid w:val="00CB464E"/>
    <w:rsid w:val="00CB59F9"/>
    <w:rsid w:val="00CC535C"/>
    <w:rsid w:val="00CC5BA8"/>
    <w:rsid w:val="00CC6CCC"/>
    <w:rsid w:val="00CD142B"/>
    <w:rsid w:val="00CD15A0"/>
    <w:rsid w:val="00CD1E6B"/>
    <w:rsid w:val="00CD2222"/>
    <w:rsid w:val="00CD4916"/>
    <w:rsid w:val="00CD505E"/>
    <w:rsid w:val="00CD63FF"/>
    <w:rsid w:val="00CD662F"/>
    <w:rsid w:val="00CE1ABB"/>
    <w:rsid w:val="00CE1B45"/>
    <w:rsid w:val="00CE591B"/>
    <w:rsid w:val="00CE6B95"/>
    <w:rsid w:val="00CF01C3"/>
    <w:rsid w:val="00CF067A"/>
    <w:rsid w:val="00CF25AB"/>
    <w:rsid w:val="00CF42FD"/>
    <w:rsid w:val="00CF5170"/>
    <w:rsid w:val="00CF58D5"/>
    <w:rsid w:val="00CF661A"/>
    <w:rsid w:val="00CF675D"/>
    <w:rsid w:val="00D01F9C"/>
    <w:rsid w:val="00D0202D"/>
    <w:rsid w:val="00D0283F"/>
    <w:rsid w:val="00D0308B"/>
    <w:rsid w:val="00D0527E"/>
    <w:rsid w:val="00D05CB9"/>
    <w:rsid w:val="00D0799B"/>
    <w:rsid w:val="00D10276"/>
    <w:rsid w:val="00D10664"/>
    <w:rsid w:val="00D1340D"/>
    <w:rsid w:val="00D136AE"/>
    <w:rsid w:val="00D165B2"/>
    <w:rsid w:val="00D175B8"/>
    <w:rsid w:val="00D1799C"/>
    <w:rsid w:val="00D20EDB"/>
    <w:rsid w:val="00D2184D"/>
    <w:rsid w:val="00D23DA5"/>
    <w:rsid w:val="00D24666"/>
    <w:rsid w:val="00D24B48"/>
    <w:rsid w:val="00D263AF"/>
    <w:rsid w:val="00D266F5"/>
    <w:rsid w:val="00D27E03"/>
    <w:rsid w:val="00D3003D"/>
    <w:rsid w:val="00D312F8"/>
    <w:rsid w:val="00D31A26"/>
    <w:rsid w:val="00D332F6"/>
    <w:rsid w:val="00D33CF8"/>
    <w:rsid w:val="00D33E20"/>
    <w:rsid w:val="00D33EFC"/>
    <w:rsid w:val="00D353D7"/>
    <w:rsid w:val="00D3773F"/>
    <w:rsid w:val="00D37BED"/>
    <w:rsid w:val="00D42E51"/>
    <w:rsid w:val="00D447FC"/>
    <w:rsid w:val="00D46807"/>
    <w:rsid w:val="00D5006F"/>
    <w:rsid w:val="00D52049"/>
    <w:rsid w:val="00D52775"/>
    <w:rsid w:val="00D5291C"/>
    <w:rsid w:val="00D55616"/>
    <w:rsid w:val="00D5739C"/>
    <w:rsid w:val="00D61853"/>
    <w:rsid w:val="00D666E2"/>
    <w:rsid w:val="00D7048A"/>
    <w:rsid w:val="00D70589"/>
    <w:rsid w:val="00D70C49"/>
    <w:rsid w:val="00D70E0C"/>
    <w:rsid w:val="00D721B9"/>
    <w:rsid w:val="00D74D5C"/>
    <w:rsid w:val="00D75A47"/>
    <w:rsid w:val="00D820FD"/>
    <w:rsid w:val="00D82101"/>
    <w:rsid w:val="00D83838"/>
    <w:rsid w:val="00D83A5F"/>
    <w:rsid w:val="00D83D3A"/>
    <w:rsid w:val="00D86778"/>
    <w:rsid w:val="00D902DC"/>
    <w:rsid w:val="00D90969"/>
    <w:rsid w:val="00D916E5"/>
    <w:rsid w:val="00D92D15"/>
    <w:rsid w:val="00D92D53"/>
    <w:rsid w:val="00D938F3"/>
    <w:rsid w:val="00D9444A"/>
    <w:rsid w:val="00D952F9"/>
    <w:rsid w:val="00D955D1"/>
    <w:rsid w:val="00DA0BA9"/>
    <w:rsid w:val="00DA1DD2"/>
    <w:rsid w:val="00DA36FC"/>
    <w:rsid w:val="00DA5BC8"/>
    <w:rsid w:val="00DA67B2"/>
    <w:rsid w:val="00DA797A"/>
    <w:rsid w:val="00DB1422"/>
    <w:rsid w:val="00DB17B9"/>
    <w:rsid w:val="00DB2164"/>
    <w:rsid w:val="00DB2C3C"/>
    <w:rsid w:val="00DB353A"/>
    <w:rsid w:val="00DB3C44"/>
    <w:rsid w:val="00DB4D20"/>
    <w:rsid w:val="00DB6E83"/>
    <w:rsid w:val="00DC4D5E"/>
    <w:rsid w:val="00DC556D"/>
    <w:rsid w:val="00DD03BE"/>
    <w:rsid w:val="00DD5C18"/>
    <w:rsid w:val="00DD7CA7"/>
    <w:rsid w:val="00DE024B"/>
    <w:rsid w:val="00DE1AA8"/>
    <w:rsid w:val="00DE2333"/>
    <w:rsid w:val="00DE4BE9"/>
    <w:rsid w:val="00DE53D8"/>
    <w:rsid w:val="00DE69A2"/>
    <w:rsid w:val="00DF0EF2"/>
    <w:rsid w:val="00DF1140"/>
    <w:rsid w:val="00DF2BE8"/>
    <w:rsid w:val="00DF31C7"/>
    <w:rsid w:val="00DF50CF"/>
    <w:rsid w:val="00DF610A"/>
    <w:rsid w:val="00DF7C6F"/>
    <w:rsid w:val="00E02D5E"/>
    <w:rsid w:val="00E05743"/>
    <w:rsid w:val="00E05777"/>
    <w:rsid w:val="00E06712"/>
    <w:rsid w:val="00E11FE8"/>
    <w:rsid w:val="00E121B1"/>
    <w:rsid w:val="00E12E0C"/>
    <w:rsid w:val="00E13731"/>
    <w:rsid w:val="00E14C08"/>
    <w:rsid w:val="00E15B6D"/>
    <w:rsid w:val="00E15BB6"/>
    <w:rsid w:val="00E15E3A"/>
    <w:rsid w:val="00E20279"/>
    <w:rsid w:val="00E206D7"/>
    <w:rsid w:val="00E221D2"/>
    <w:rsid w:val="00E23BE6"/>
    <w:rsid w:val="00E2569F"/>
    <w:rsid w:val="00E259AE"/>
    <w:rsid w:val="00E2721B"/>
    <w:rsid w:val="00E31ED8"/>
    <w:rsid w:val="00E33281"/>
    <w:rsid w:val="00E342EA"/>
    <w:rsid w:val="00E3555B"/>
    <w:rsid w:val="00E36450"/>
    <w:rsid w:val="00E40A2A"/>
    <w:rsid w:val="00E427D5"/>
    <w:rsid w:val="00E436A9"/>
    <w:rsid w:val="00E43A33"/>
    <w:rsid w:val="00E44BC2"/>
    <w:rsid w:val="00E45619"/>
    <w:rsid w:val="00E47AA3"/>
    <w:rsid w:val="00E503C7"/>
    <w:rsid w:val="00E50790"/>
    <w:rsid w:val="00E5341B"/>
    <w:rsid w:val="00E5393B"/>
    <w:rsid w:val="00E60103"/>
    <w:rsid w:val="00E6216F"/>
    <w:rsid w:val="00E6262F"/>
    <w:rsid w:val="00E67792"/>
    <w:rsid w:val="00E67B3A"/>
    <w:rsid w:val="00E7191B"/>
    <w:rsid w:val="00E7226C"/>
    <w:rsid w:val="00E72F57"/>
    <w:rsid w:val="00E7627E"/>
    <w:rsid w:val="00E7752A"/>
    <w:rsid w:val="00E8223A"/>
    <w:rsid w:val="00E844F6"/>
    <w:rsid w:val="00E8473C"/>
    <w:rsid w:val="00E86E94"/>
    <w:rsid w:val="00E916D4"/>
    <w:rsid w:val="00E9255B"/>
    <w:rsid w:val="00E93B02"/>
    <w:rsid w:val="00E9501E"/>
    <w:rsid w:val="00E968ED"/>
    <w:rsid w:val="00EA0723"/>
    <w:rsid w:val="00EA2D9C"/>
    <w:rsid w:val="00EA3779"/>
    <w:rsid w:val="00EA47CB"/>
    <w:rsid w:val="00EB0677"/>
    <w:rsid w:val="00EB248D"/>
    <w:rsid w:val="00EB2F74"/>
    <w:rsid w:val="00EB493B"/>
    <w:rsid w:val="00EB4EA0"/>
    <w:rsid w:val="00EB5B1E"/>
    <w:rsid w:val="00EB6DBF"/>
    <w:rsid w:val="00EC2177"/>
    <w:rsid w:val="00EC3791"/>
    <w:rsid w:val="00EC6FCE"/>
    <w:rsid w:val="00ED1D42"/>
    <w:rsid w:val="00ED663C"/>
    <w:rsid w:val="00EE0079"/>
    <w:rsid w:val="00EE025A"/>
    <w:rsid w:val="00EE0ECD"/>
    <w:rsid w:val="00EE17B1"/>
    <w:rsid w:val="00EE3822"/>
    <w:rsid w:val="00EE38D5"/>
    <w:rsid w:val="00EE44AF"/>
    <w:rsid w:val="00EE7A37"/>
    <w:rsid w:val="00EE7F2E"/>
    <w:rsid w:val="00EF0CCA"/>
    <w:rsid w:val="00EF4EBE"/>
    <w:rsid w:val="00EF602E"/>
    <w:rsid w:val="00EF6CDD"/>
    <w:rsid w:val="00F01D0C"/>
    <w:rsid w:val="00F02187"/>
    <w:rsid w:val="00F02CAF"/>
    <w:rsid w:val="00F058E3"/>
    <w:rsid w:val="00F0595C"/>
    <w:rsid w:val="00F06602"/>
    <w:rsid w:val="00F07F4A"/>
    <w:rsid w:val="00F102D8"/>
    <w:rsid w:val="00F10661"/>
    <w:rsid w:val="00F112D6"/>
    <w:rsid w:val="00F12EDD"/>
    <w:rsid w:val="00F147B8"/>
    <w:rsid w:val="00F169D5"/>
    <w:rsid w:val="00F23E6E"/>
    <w:rsid w:val="00F271E9"/>
    <w:rsid w:val="00F2772D"/>
    <w:rsid w:val="00F27917"/>
    <w:rsid w:val="00F30C9D"/>
    <w:rsid w:val="00F31688"/>
    <w:rsid w:val="00F3469A"/>
    <w:rsid w:val="00F3624D"/>
    <w:rsid w:val="00F37CA3"/>
    <w:rsid w:val="00F40143"/>
    <w:rsid w:val="00F40483"/>
    <w:rsid w:val="00F41029"/>
    <w:rsid w:val="00F42931"/>
    <w:rsid w:val="00F4658C"/>
    <w:rsid w:val="00F50390"/>
    <w:rsid w:val="00F506C8"/>
    <w:rsid w:val="00F50C14"/>
    <w:rsid w:val="00F50F39"/>
    <w:rsid w:val="00F51E1C"/>
    <w:rsid w:val="00F522BB"/>
    <w:rsid w:val="00F54F82"/>
    <w:rsid w:val="00F61DB9"/>
    <w:rsid w:val="00F6369A"/>
    <w:rsid w:val="00F64C6F"/>
    <w:rsid w:val="00F664ED"/>
    <w:rsid w:val="00F73588"/>
    <w:rsid w:val="00F73DB8"/>
    <w:rsid w:val="00F7774B"/>
    <w:rsid w:val="00F77A49"/>
    <w:rsid w:val="00F870A2"/>
    <w:rsid w:val="00F87811"/>
    <w:rsid w:val="00F90CA8"/>
    <w:rsid w:val="00F93449"/>
    <w:rsid w:val="00F940A8"/>
    <w:rsid w:val="00F94167"/>
    <w:rsid w:val="00FA36B8"/>
    <w:rsid w:val="00FA5FC2"/>
    <w:rsid w:val="00FA6287"/>
    <w:rsid w:val="00FA7A13"/>
    <w:rsid w:val="00FB3D51"/>
    <w:rsid w:val="00FB487C"/>
    <w:rsid w:val="00FC03B6"/>
    <w:rsid w:val="00FC1EC5"/>
    <w:rsid w:val="00FC2943"/>
    <w:rsid w:val="00FC42F0"/>
    <w:rsid w:val="00FD11B0"/>
    <w:rsid w:val="00FD1C55"/>
    <w:rsid w:val="00FD58DE"/>
    <w:rsid w:val="00FD5BE8"/>
    <w:rsid w:val="00FD658F"/>
    <w:rsid w:val="00FD667A"/>
    <w:rsid w:val="00FD7C85"/>
    <w:rsid w:val="00FE02AA"/>
    <w:rsid w:val="00FE0DBB"/>
    <w:rsid w:val="00FE1810"/>
    <w:rsid w:val="00FE2557"/>
    <w:rsid w:val="00FE2C07"/>
    <w:rsid w:val="00FE7B16"/>
    <w:rsid w:val="00FF22C2"/>
    <w:rsid w:val="00FF2DAF"/>
    <w:rsid w:val="00FF2F2D"/>
    <w:rsid w:val="00FF3256"/>
    <w:rsid w:val="00FF4937"/>
    <w:rsid w:val="00FF4CD4"/>
    <w:rsid w:val="00FF4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6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644"/>
    <w:rPr>
      <w:sz w:val="18"/>
      <w:szCs w:val="18"/>
    </w:rPr>
  </w:style>
  <w:style w:type="paragraph" w:styleId="a4">
    <w:name w:val="footer"/>
    <w:basedOn w:val="a"/>
    <w:link w:val="Char0"/>
    <w:uiPriority w:val="99"/>
    <w:unhideWhenUsed/>
    <w:rsid w:val="00B13644"/>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44"/>
    <w:rPr>
      <w:sz w:val="18"/>
      <w:szCs w:val="18"/>
    </w:rPr>
  </w:style>
  <w:style w:type="paragraph" w:styleId="a5">
    <w:name w:val="Balloon Text"/>
    <w:basedOn w:val="a"/>
    <w:link w:val="Char1"/>
    <w:uiPriority w:val="99"/>
    <w:semiHidden/>
    <w:unhideWhenUsed/>
    <w:rsid w:val="00753042"/>
    <w:rPr>
      <w:sz w:val="18"/>
      <w:szCs w:val="18"/>
    </w:rPr>
  </w:style>
  <w:style w:type="character" w:customStyle="1" w:styleId="Char1">
    <w:name w:val="批注框文本 Char"/>
    <w:basedOn w:val="a0"/>
    <w:link w:val="a5"/>
    <w:uiPriority w:val="99"/>
    <w:semiHidden/>
    <w:rsid w:val="00753042"/>
    <w:rPr>
      <w:sz w:val="18"/>
      <w:szCs w:val="18"/>
    </w:rPr>
  </w:style>
  <w:style w:type="character" w:styleId="a6">
    <w:name w:val="Strong"/>
    <w:basedOn w:val="a0"/>
    <w:uiPriority w:val="22"/>
    <w:qFormat/>
    <w:rsid w:val="00405DCE"/>
    <w:rPr>
      <w:b/>
      <w:bCs/>
    </w:rPr>
  </w:style>
  <w:style w:type="paragraph" w:customStyle="1" w:styleId="Default">
    <w:name w:val="Default"/>
    <w:rsid w:val="00FF2DAF"/>
    <w:pPr>
      <w:widowControl w:val="0"/>
      <w:autoSpaceDE w:val="0"/>
      <w:autoSpaceDN w:val="0"/>
      <w:adjustRightInd w:val="0"/>
    </w:pPr>
    <w:rPr>
      <w:rFonts w:ascii="Times New Roman" w:hAnsi="Times New Roman" w:cs="Times New Roman"/>
      <w:color w:val="000000"/>
      <w:kern w:val="0"/>
      <w:sz w:val="24"/>
      <w:szCs w:val="24"/>
    </w:rPr>
  </w:style>
  <w:style w:type="character" w:styleId="a7">
    <w:name w:val="Emphasis"/>
    <w:basedOn w:val="a0"/>
    <w:uiPriority w:val="20"/>
    <w:qFormat/>
    <w:rsid w:val="00651270"/>
    <w:rPr>
      <w:i w:val="0"/>
      <w:iCs w:val="0"/>
      <w:color w:val="CC0000"/>
    </w:rPr>
  </w:style>
  <w:style w:type="character" w:styleId="a8">
    <w:name w:val="Hyperlink"/>
    <w:basedOn w:val="a0"/>
    <w:uiPriority w:val="99"/>
    <w:unhideWhenUsed/>
    <w:rsid w:val="007F18E8"/>
    <w:rPr>
      <w:color w:val="0000FF"/>
      <w:u w:val="single"/>
    </w:rPr>
  </w:style>
  <w:style w:type="character" w:styleId="a9">
    <w:name w:val="FollowedHyperlink"/>
    <w:basedOn w:val="a0"/>
    <w:uiPriority w:val="99"/>
    <w:semiHidden/>
    <w:unhideWhenUsed/>
    <w:rsid w:val="00B41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5652742">
      <w:bodyDiv w:val="1"/>
      <w:marLeft w:val="0"/>
      <w:marRight w:val="0"/>
      <w:marTop w:val="0"/>
      <w:marBottom w:val="0"/>
      <w:divBdr>
        <w:top w:val="none" w:sz="0" w:space="0" w:color="auto"/>
        <w:left w:val="none" w:sz="0" w:space="0" w:color="auto"/>
        <w:bottom w:val="none" w:sz="0" w:space="0" w:color="auto"/>
        <w:right w:val="none" w:sz="0" w:space="0" w:color="auto"/>
      </w:divBdr>
    </w:div>
    <w:div w:id="849224150">
      <w:bodyDiv w:val="1"/>
      <w:marLeft w:val="0"/>
      <w:marRight w:val="0"/>
      <w:marTop w:val="0"/>
      <w:marBottom w:val="0"/>
      <w:divBdr>
        <w:top w:val="none" w:sz="0" w:space="0" w:color="auto"/>
        <w:left w:val="none" w:sz="0" w:space="0" w:color="auto"/>
        <w:bottom w:val="none" w:sz="0" w:space="0" w:color="auto"/>
        <w:right w:val="none" w:sz="0" w:space="0" w:color="auto"/>
      </w:divBdr>
    </w:div>
    <w:div w:id="901217858">
      <w:bodyDiv w:val="1"/>
      <w:marLeft w:val="0"/>
      <w:marRight w:val="0"/>
      <w:marTop w:val="0"/>
      <w:marBottom w:val="0"/>
      <w:divBdr>
        <w:top w:val="none" w:sz="0" w:space="0" w:color="auto"/>
        <w:left w:val="none" w:sz="0" w:space="0" w:color="auto"/>
        <w:bottom w:val="none" w:sz="0" w:space="0" w:color="auto"/>
        <w:right w:val="none" w:sz="0" w:space="0" w:color="auto"/>
      </w:divBdr>
      <w:divsChild>
        <w:div w:id="1627421022">
          <w:marLeft w:val="0"/>
          <w:marRight w:val="0"/>
          <w:marTop w:val="0"/>
          <w:marBottom w:val="0"/>
          <w:divBdr>
            <w:top w:val="none" w:sz="0" w:space="0" w:color="auto"/>
            <w:left w:val="none" w:sz="0" w:space="0" w:color="auto"/>
            <w:bottom w:val="none" w:sz="0" w:space="0" w:color="auto"/>
            <w:right w:val="none" w:sz="0" w:space="0" w:color="auto"/>
          </w:divBdr>
          <w:divsChild>
            <w:div w:id="513962425">
              <w:marLeft w:val="0"/>
              <w:marRight w:val="0"/>
              <w:marTop w:val="0"/>
              <w:marBottom w:val="0"/>
              <w:divBdr>
                <w:top w:val="none" w:sz="0" w:space="0" w:color="auto"/>
                <w:left w:val="none" w:sz="0" w:space="0" w:color="auto"/>
                <w:bottom w:val="none" w:sz="0" w:space="0" w:color="auto"/>
                <w:right w:val="none" w:sz="0" w:space="0" w:color="auto"/>
              </w:divBdr>
              <w:divsChild>
                <w:div w:id="593368189">
                  <w:marLeft w:val="0"/>
                  <w:marRight w:val="0"/>
                  <w:marTop w:val="0"/>
                  <w:marBottom w:val="0"/>
                  <w:divBdr>
                    <w:top w:val="none" w:sz="0" w:space="0" w:color="auto"/>
                    <w:left w:val="none" w:sz="0" w:space="0" w:color="auto"/>
                    <w:bottom w:val="none" w:sz="0" w:space="0" w:color="auto"/>
                    <w:right w:val="none" w:sz="0" w:space="0" w:color="auto"/>
                  </w:divBdr>
                  <w:divsChild>
                    <w:div w:id="14205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4854">
      <w:bodyDiv w:val="1"/>
      <w:marLeft w:val="0"/>
      <w:marRight w:val="0"/>
      <w:marTop w:val="0"/>
      <w:marBottom w:val="0"/>
      <w:divBdr>
        <w:top w:val="none" w:sz="0" w:space="0" w:color="auto"/>
        <w:left w:val="none" w:sz="0" w:space="0" w:color="auto"/>
        <w:bottom w:val="none" w:sz="0" w:space="0" w:color="auto"/>
        <w:right w:val="none" w:sz="0" w:space="0" w:color="auto"/>
      </w:divBdr>
      <w:divsChild>
        <w:div w:id="1892615023">
          <w:marLeft w:val="0"/>
          <w:marRight w:val="0"/>
          <w:marTop w:val="0"/>
          <w:marBottom w:val="0"/>
          <w:divBdr>
            <w:top w:val="none" w:sz="0" w:space="0" w:color="auto"/>
            <w:left w:val="none" w:sz="0" w:space="0" w:color="auto"/>
            <w:bottom w:val="none" w:sz="0" w:space="0" w:color="auto"/>
            <w:right w:val="none" w:sz="0" w:space="0" w:color="auto"/>
          </w:divBdr>
        </w:div>
      </w:divsChild>
    </w:div>
    <w:div w:id="1369992586">
      <w:bodyDiv w:val="1"/>
      <w:marLeft w:val="0"/>
      <w:marRight w:val="0"/>
      <w:marTop w:val="0"/>
      <w:marBottom w:val="0"/>
      <w:divBdr>
        <w:top w:val="none" w:sz="0" w:space="0" w:color="auto"/>
        <w:left w:val="none" w:sz="0" w:space="0" w:color="auto"/>
        <w:bottom w:val="none" w:sz="0" w:space="0" w:color="auto"/>
        <w:right w:val="none" w:sz="0" w:space="0" w:color="auto"/>
      </w:divBdr>
      <w:divsChild>
        <w:div w:id="1568875341">
          <w:marLeft w:val="0"/>
          <w:marRight w:val="0"/>
          <w:marTop w:val="0"/>
          <w:marBottom w:val="0"/>
          <w:divBdr>
            <w:top w:val="none" w:sz="0" w:space="0" w:color="auto"/>
            <w:left w:val="none" w:sz="0" w:space="0" w:color="auto"/>
            <w:bottom w:val="none" w:sz="0" w:space="0" w:color="auto"/>
            <w:right w:val="none" w:sz="0" w:space="0" w:color="auto"/>
          </w:divBdr>
        </w:div>
      </w:divsChild>
    </w:div>
    <w:div w:id="1454054895">
      <w:bodyDiv w:val="1"/>
      <w:marLeft w:val="0"/>
      <w:marRight w:val="0"/>
      <w:marTop w:val="0"/>
      <w:marBottom w:val="0"/>
      <w:divBdr>
        <w:top w:val="none" w:sz="0" w:space="0" w:color="auto"/>
        <w:left w:val="none" w:sz="0" w:space="0" w:color="auto"/>
        <w:bottom w:val="none" w:sz="0" w:space="0" w:color="auto"/>
        <w:right w:val="none" w:sz="0" w:space="0" w:color="auto"/>
      </w:divBdr>
    </w:div>
    <w:div w:id="1821732106">
      <w:bodyDiv w:val="1"/>
      <w:marLeft w:val="0"/>
      <w:marRight w:val="0"/>
      <w:marTop w:val="0"/>
      <w:marBottom w:val="0"/>
      <w:divBdr>
        <w:top w:val="none" w:sz="0" w:space="0" w:color="auto"/>
        <w:left w:val="none" w:sz="0" w:space="0" w:color="auto"/>
        <w:bottom w:val="none" w:sz="0" w:space="0" w:color="auto"/>
        <w:right w:val="none" w:sz="0" w:space="0" w:color="auto"/>
      </w:divBdr>
      <w:divsChild>
        <w:div w:id="1442842357">
          <w:marLeft w:val="0"/>
          <w:marRight w:val="0"/>
          <w:marTop w:val="0"/>
          <w:marBottom w:val="0"/>
          <w:divBdr>
            <w:top w:val="none" w:sz="0" w:space="0" w:color="auto"/>
            <w:left w:val="none" w:sz="0" w:space="0" w:color="auto"/>
            <w:bottom w:val="none" w:sz="0" w:space="0" w:color="auto"/>
            <w:right w:val="none" w:sz="0" w:space="0" w:color="auto"/>
          </w:divBdr>
        </w:div>
      </w:divsChild>
    </w:div>
    <w:div w:id="20198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1E41-C48E-43F1-954A-8E625CCB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444</Words>
  <Characters>2531</Characters>
  <Application>Microsoft Office Word</Application>
  <DocSecurity>0</DocSecurity>
  <Lines>21</Lines>
  <Paragraphs>5</Paragraphs>
  <ScaleCrop>false</ScaleCrop>
  <Company>Hfzq LTD.</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陈晖</dc:creator>
  <cp:lastModifiedBy>林娱庭</cp:lastModifiedBy>
  <cp:revision>28</cp:revision>
  <dcterms:created xsi:type="dcterms:W3CDTF">2017-08-29T01:52:00Z</dcterms:created>
  <dcterms:modified xsi:type="dcterms:W3CDTF">2017-12-15T11:50:00Z</dcterms:modified>
</cp:coreProperties>
</file>