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AC" w:rsidRDefault="00886C4D" w:rsidP="00B74BAC">
      <w:pPr>
        <w:spacing w:line="360" w:lineRule="auto"/>
        <w:jc w:val="center"/>
        <w:rPr>
          <w:rFonts w:ascii="黑体" w:eastAsia="黑体" w:hAnsi="黑体" w:hint="eastAsia"/>
          <w:b/>
          <w:sz w:val="32"/>
          <w:szCs w:val="32"/>
        </w:rPr>
      </w:pPr>
      <w:bookmarkStart w:id="0" w:name="OLE_LINK1"/>
      <w:bookmarkStart w:id="1" w:name="OLE_LINK2"/>
      <w:r w:rsidRPr="00886C4D">
        <w:rPr>
          <w:rFonts w:ascii="黑体" w:eastAsia="黑体" w:hAnsi="黑体" w:hint="eastAsia"/>
          <w:b/>
          <w:sz w:val="32"/>
          <w:szCs w:val="32"/>
        </w:rPr>
        <w:t>兴银基金固收周报（2017.10.23-2017.10.27）</w:t>
      </w:r>
    </w:p>
    <w:p w:rsidR="00886C4D" w:rsidRPr="00AD06A6" w:rsidRDefault="00886C4D" w:rsidP="00B74BAC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</w:p>
    <w:p w:rsidR="003A1B08" w:rsidRDefault="0061496E" w:rsidP="00886C4D">
      <w:pPr>
        <w:spacing w:line="360" w:lineRule="auto"/>
        <w:ind w:firstLine="420"/>
        <w:rPr>
          <w:rFonts w:asciiTheme="minorEastAsia" w:hAnsiTheme="minorEastAsia" w:hint="eastAsia"/>
          <w:b/>
          <w:szCs w:val="21"/>
        </w:rPr>
      </w:pPr>
      <w:r w:rsidRPr="003A1B08">
        <w:rPr>
          <w:rFonts w:hint="eastAsia"/>
          <w:b/>
          <w:szCs w:val="21"/>
        </w:rPr>
        <w:t>摘要：</w:t>
      </w:r>
      <w:r w:rsidR="00004A6F" w:rsidRPr="003A1B08">
        <w:rPr>
          <w:rFonts w:hint="eastAsia"/>
          <w:b/>
          <w:szCs w:val="21"/>
        </w:rPr>
        <w:t>宏观方面：</w:t>
      </w:r>
      <w:r w:rsidR="006551AC" w:rsidRPr="003A1B08">
        <w:rPr>
          <w:rFonts w:hint="eastAsia"/>
          <w:b/>
          <w:szCs w:val="21"/>
        </w:rPr>
        <w:t>国际方面，</w:t>
      </w:r>
      <w:r w:rsidR="006551AC" w:rsidRPr="008B582B">
        <w:rPr>
          <w:rFonts w:hint="eastAsia"/>
          <w:b/>
          <w:szCs w:val="21"/>
        </w:rPr>
        <w:t>欧洲央行维持三大利率不变，削减月度购债计划</w:t>
      </w:r>
      <w:r w:rsidR="006551AC" w:rsidRPr="008B582B">
        <w:rPr>
          <w:rFonts w:hint="eastAsia"/>
          <w:b/>
          <w:szCs w:val="21"/>
        </w:rPr>
        <w:t>300</w:t>
      </w:r>
      <w:r w:rsidR="006551AC" w:rsidRPr="008B582B">
        <w:rPr>
          <w:rFonts w:hint="eastAsia"/>
          <w:b/>
          <w:szCs w:val="21"/>
        </w:rPr>
        <w:t>亿</w:t>
      </w:r>
      <w:r w:rsidR="006551AC" w:rsidRPr="006551AC">
        <w:rPr>
          <w:rFonts w:hint="eastAsia"/>
          <w:b/>
          <w:szCs w:val="21"/>
        </w:rPr>
        <w:t>；国内方面，</w:t>
      </w:r>
      <w:r w:rsidR="006551AC" w:rsidRPr="006551AC">
        <w:rPr>
          <w:b/>
          <w:szCs w:val="21"/>
        </w:rPr>
        <w:t>9</w:t>
      </w:r>
      <w:r w:rsidR="006551AC" w:rsidRPr="006551AC">
        <w:rPr>
          <w:rFonts w:hint="eastAsia"/>
          <w:b/>
          <w:szCs w:val="21"/>
        </w:rPr>
        <w:t>月工业企业利润总额同比增速</w:t>
      </w:r>
      <w:r w:rsidR="006551AC" w:rsidRPr="006551AC">
        <w:rPr>
          <w:b/>
          <w:szCs w:val="21"/>
        </w:rPr>
        <w:t>27.7%</w:t>
      </w:r>
      <w:r w:rsidR="006551AC" w:rsidRPr="006551AC">
        <w:rPr>
          <w:rFonts w:hint="eastAsia"/>
          <w:b/>
          <w:szCs w:val="21"/>
        </w:rPr>
        <w:t>，较</w:t>
      </w:r>
      <w:r w:rsidR="006551AC" w:rsidRPr="006551AC">
        <w:rPr>
          <w:b/>
          <w:szCs w:val="21"/>
        </w:rPr>
        <w:t>8</w:t>
      </w:r>
      <w:r w:rsidR="006551AC" w:rsidRPr="006551AC">
        <w:rPr>
          <w:rFonts w:hint="eastAsia"/>
          <w:b/>
          <w:szCs w:val="21"/>
        </w:rPr>
        <w:t>月继续上升。</w:t>
      </w:r>
      <w:r w:rsidR="006551AC" w:rsidRPr="0088592F">
        <w:rPr>
          <w:rFonts w:asciiTheme="minorEastAsia" w:hAnsiTheme="minorEastAsia" w:hint="eastAsia"/>
          <w:b/>
          <w:szCs w:val="21"/>
        </w:rPr>
        <w:t>本周资金面收紧，央行启动63天逆回购操作，但对资金面整体影响有限，月末资金面习惯性收紧，下周月末最后两个交易日仍需保持警惕，资金紧张情况或将延续至月底，交易所融资成本仍将继续抬升</w:t>
      </w:r>
      <w:r w:rsidR="006551AC">
        <w:rPr>
          <w:rFonts w:asciiTheme="minorEastAsia" w:hAnsiTheme="minorEastAsia" w:hint="eastAsia"/>
          <w:b/>
          <w:szCs w:val="21"/>
        </w:rPr>
        <w:t>。</w:t>
      </w:r>
      <w:r w:rsidR="003A1B08" w:rsidRPr="003A1B08">
        <w:rPr>
          <w:rFonts w:asciiTheme="minorEastAsia" w:hAnsiTheme="minorEastAsia" w:hint="eastAsia"/>
          <w:b/>
          <w:szCs w:val="21"/>
        </w:rPr>
        <w:t>近期建议，鉴于债市对监管政策和基本面的忧虑短期内未能消除，资金面波动压力较大，建议谨慎。</w:t>
      </w:r>
    </w:p>
    <w:p w:rsidR="00886C4D" w:rsidRPr="003A1B08" w:rsidRDefault="00886C4D" w:rsidP="00886C4D">
      <w:pPr>
        <w:spacing w:line="360" w:lineRule="auto"/>
        <w:ind w:firstLine="420"/>
        <w:rPr>
          <w:rFonts w:asciiTheme="minorEastAsia" w:hAnsiTheme="minorEastAsia"/>
          <w:b/>
          <w:szCs w:val="21"/>
        </w:rPr>
      </w:pPr>
    </w:p>
    <w:p w:rsidR="006551AC" w:rsidRPr="006551AC" w:rsidRDefault="00886C4D" w:rsidP="006551AC">
      <w:pPr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 xml:space="preserve">    </w:t>
      </w:r>
      <w:r w:rsidR="006A71D0" w:rsidRPr="006551AC">
        <w:rPr>
          <w:rFonts w:hint="eastAsia"/>
          <w:b/>
          <w:szCs w:val="21"/>
        </w:rPr>
        <w:t>一、国际方面：</w:t>
      </w:r>
      <w:r w:rsidR="006551AC" w:rsidRPr="008B582B">
        <w:rPr>
          <w:rFonts w:hint="eastAsia"/>
          <w:b/>
          <w:szCs w:val="21"/>
        </w:rPr>
        <w:t>欧洲央行维持三大利率不变，削减月度购债计划</w:t>
      </w:r>
      <w:r w:rsidR="006551AC" w:rsidRPr="008B582B">
        <w:rPr>
          <w:rFonts w:hint="eastAsia"/>
          <w:b/>
          <w:szCs w:val="21"/>
        </w:rPr>
        <w:t>300</w:t>
      </w:r>
      <w:r w:rsidR="006551AC" w:rsidRPr="008B582B">
        <w:rPr>
          <w:rFonts w:hint="eastAsia"/>
          <w:b/>
          <w:szCs w:val="21"/>
        </w:rPr>
        <w:t>亿</w:t>
      </w:r>
      <w:r w:rsidR="00551102" w:rsidRPr="006551AC">
        <w:rPr>
          <w:rFonts w:hint="eastAsia"/>
          <w:b/>
          <w:szCs w:val="21"/>
        </w:rPr>
        <w:t>；</w:t>
      </w:r>
      <w:r w:rsidR="006551AC" w:rsidRPr="006551AC">
        <w:rPr>
          <w:rFonts w:hint="eastAsia"/>
          <w:b/>
          <w:szCs w:val="21"/>
        </w:rPr>
        <w:t>国内方面，</w:t>
      </w:r>
      <w:r w:rsidR="006551AC" w:rsidRPr="006551AC">
        <w:rPr>
          <w:b/>
          <w:szCs w:val="21"/>
        </w:rPr>
        <w:t>9</w:t>
      </w:r>
      <w:r w:rsidR="006551AC" w:rsidRPr="006551AC">
        <w:rPr>
          <w:rFonts w:hint="eastAsia"/>
          <w:b/>
          <w:szCs w:val="21"/>
        </w:rPr>
        <w:t>月工业企业利润总额同比增速</w:t>
      </w:r>
      <w:r w:rsidR="006551AC" w:rsidRPr="006551AC">
        <w:rPr>
          <w:b/>
          <w:szCs w:val="21"/>
        </w:rPr>
        <w:t>27.7%</w:t>
      </w:r>
      <w:r w:rsidR="006551AC" w:rsidRPr="006551AC">
        <w:rPr>
          <w:rFonts w:hint="eastAsia"/>
          <w:b/>
          <w:szCs w:val="21"/>
        </w:rPr>
        <w:t>，较</w:t>
      </w:r>
      <w:r w:rsidR="006551AC" w:rsidRPr="006551AC">
        <w:rPr>
          <w:b/>
          <w:szCs w:val="21"/>
        </w:rPr>
        <w:t>8</w:t>
      </w:r>
      <w:r w:rsidR="006551AC" w:rsidRPr="006551AC">
        <w:rPr>
          <w:rFonts w:hint="eastAsia"/>
          <w:b/>
          <w:szCs w:val="21"/>
        </w:rPr>
        <w:t>月继续上升。</w:t>
      </w:r>
    </w:p>
    <w:p w:rsidR="00551102" w:rsidRPr="008B582B" w:rsidRDefault="00551102" w:rsidP="006551AC">
      <w:pPr>
        <w:spacing w:line="360" w:lineRule="auto"/>
        <w:ind w:firstLineChars="196" w:firstLine="413"/>
        <w:rPr>
          <w:b/>
          <w:szCs w:val="21"/>
        </w:rPr>
      </w:pPr>
      <w:r w:rsidRPr="008B582B">
        <w:rPr>
          <w:rFonts w:hint="eastAsia"/>
          <w:b/>
          <w:szCs w:val="21"/>
        </w:rPr>
        <w:t>国际方面，</w:t>
      </w:r>
      <w:r w:rsidR="004F4564" w:rsidRPr="008B582B">
        <w:rPr>
          <w:rFonts w:hint="eastAsia"/>
          <w:b/>
          <w:szCs w:val="21"/>
        </w:rPr>
        <w:t>欧洲央行维持三大利率不变</w:t>
      </w:r>
      <w:r w:rsidR="00F92287" w:rsidRPr="008B582B">
        <w:rPr>
          <w:rFonts w:hint="eastAsia"/>
          <w:b/>
          <w:szCs w:val="21"/>
        </w:rPr>
        <w:t>，削减月度购债计划</w:t>
      </w:r>
      <w:r w:rsidR="00F92287" w:rsidRPr="008B582B">
        <w:rPr>
          <w:rFonts w:hint="eastAsia"/>
          <w:b/>
          <w:szCs w:val="21"/>
        </w:rPr>
        <w:t>300</w:t>
      </w:r>
      <w:r w:rsidR="00F92287" w:rsidRPr="008B582B">
        <w:rPr>
          <w:rFonts w:hint="eastAsia"/>
          <w:b/>
          <w:szCs w:val="21"/>
        </w:rPr>
        <w:t>亿。</w:t>
      </w:r>
    </w:p>
    <w:p w:rsidR="004F4564" w:rsidRPr="008B582B" w:rsidRDefault="004F4564" w:rsidP="00F92287">
      <w:pPr>
        <w:spacing w:line="360" w:lineRule="auto"/>
        <w:ind w:firstLineChars="200" w:firstLine="420"/>
        <w:rPr>
          <w:rFonts w:ascii="宋体" w:hAnsi="宋体" w:cstheme="minorBidi"/>
          <w:szCs w:val="21"/>
        </w:rPr>
      </w:pPr>
      <w:r w:rsidRPr="008B582B">
        <w:rPr>
          <w:rFonts w:ascii="宋体" w:hAnsi="宋体" w:cstheme="minorBidi" w:hint="eastAsia"/>
          <w:szCs w:val="21"/>
        </w:rPr>
        <w:t>欧洲央行公布利率决议，维持三大利率不变，同时将月度购债计划从</w:t>
      </w:r>
      <w:r w:rsidRPr="008B582B">
        <w:rPr>
          <w:rFonts w:ascii="宋体" w:hAnsi="宋体" w:cstheme="minorBidi"/>
          <w:szCs w:val="21"/>
        </w:rPr>
        <w:t xml:space="preserve">600 </w:t>
      </w:r>
      <w:r w:rsidRPr="008B582B">
        <w:rPr>
          <w:rFonts w:ascii="宋体" w:hAnsi="宋体" w:cstheme="minorBidi" w:hint="eastAsia"/>
          <w:szCs w:val="21"/>
        </w:rPr>
        <w:t>亿欧元削减至</w:t>
      </w:r>
      <w:r w:rsidRPr="008B582B">
        <w:rPr>
          <w:rFonts w:ascii="宋体" w:hAnsi="宋体" w:cstheme="minorBidi"/>
          <w:szCs w:val="21"/>
        </w:rPr>
        <w:t>300</w:t>
      </w:r>
      <w:r w:rsidRPr="008B582B">
        <w:rPr>
          <w:rFonts w:ascii="宋体" w:hAnsi="宋体" w:cstheme="minorBidi" w:hint="eastAsia"/>
          <w:szCs w:val="21"/>
        </w:rPr>
        <w:t>亿欧元，从</w:t>
      </w:r>
      <w:r w:rsidRPr="008B582B">
        <w:rPr>
          <w:rFonts w:ascii="宋体" w:hAnsi="宋体" w:cstheme="minorBidi"/>
          <w:szCs w:val="21"/>
        </w:rPr>
        <w:t xml:space="preserve">2018 </w:t>
      </w:r>
      <w:r w:rsidRPr="008B582B">
        <w:rPr>
          <w:rFonts w:ascii="宋体" w:hAnsi="宋体" w:cstheme="minorBidi" w:hint="eastAsia"/>
          <w:szCs w:val="21"/>
        </w:rPr>
        <w:t>年</w:t>
      </w:r>
      <w:r w:rsidRPr="008B582B">
        <w:rPr>
          <w:rFonts w:ascii="宋体" w:hAnsi="宋体" w:cstheme="minorBidi"/>
          <w:szCs w:val="21"/>
        </w:rPr>
        <w:t xml:space="preserve">1 </w:t>
      </w:r>
      <w:r w:rsidRPr="008B582B">
        <w:rPr>
          <w:rFonts w:ascii="宋体" w:hAnsi="宋体" w:cstheme="minorBidi" w:hint="eastAsia"/>
          <w:szCs w:val="21"/>
        </w:rPr>
        <w:t>月起延续</w:t>
      </w:r>
      <w:r w:rsidRPr="008B582B">
        <w:rPr>
          <w:rFonts w:ascii="宋体" w:hAnsi="宋体" w:cstheme="minorBidi"/>
          <w:szCs w:val="21"/>
        </w:rPr>
        <w:t xml:space="preserve">9 </w:t>
      </w:r>
      <w:r w:rsidRPr="008B582B">
        <w:rPr>
          <w:rFonts w:ascii="宋体" w:hAnsi="宋体" w:cstheme="minorBidi" w:hint="eastAsia"/>
          <w:szCs w:val="21"/>
        </w:rPr>
        <w:t>个月，如有必要将持续更长时间。这一决定基本符合此前市场预期、甚至在</w:t>
      </w:r>
      <w:r w:rsidRPr="008B582B">
        <w:rPr>
          <w:rFonts w:ascii="宋体" w:hAnsi="宋体" w:cstheme="minorBidi"/>
          <w:szCs w:val="21"/>
        </w:rPr>
        <w:t xml:space="preserve">QE </w:t>
      </w:r>
      <w:r w:rsidRPr="008B582B">
        <w:rPr>
          <w:rFonts w:ascii="宋体" w:hAnsi="宋体" w:cstheme="minorBidi" w:hint="eastAsia"/>
          <w:szCs w:val="21"/>
        </w:rPr>
        <w:t>延长时间上略偏鸽派，市场反应积极。欧洲股市普遍进一步走高、欧元大幅下行、进而推动美元指数走高至</w:t>
      </w:r>
      <w:r w:rsidRPr="008B582B">
        <w:rPr>
          <w:rFonts w:ascii="宋体" w:hAnsi="宋体" w:cstheme="minorBidi"/>
          <w:szCs w:val="21"/>
        </w:rPr>
        <w:t>94.2</w:t>
      </w:r>
      <w:r w:rsidRPr="008B582B">
        <w:rPr>
          <w:rFonts w:ascii="宋体" w:hAnsi="宋体" w:cstheme="minorBidi" w:hint="eastAsia"/>
          <w:szCs w:val="21"/>
        </w:rPr>
        <w:t>、黄金回落。</w:t>
      </w:r>
    </w:p>
    <w:p w:rsidR="00551102" w:rsidRPr="006551AC" w:rsidRDefault="00551102" w:rsidP="006551AC">
      <w:pPr>
        <w:spacing w:line="360" w:lineRule="auto"/>
        <w:ind w:firstLineChars="196" w:firstLine="413"/>
        <w:rPr>
          <w:b/>
          <w:szCs w:val="21"/>
        </w:rPr>
      </w:pPr>
      <w:r w:rsidRPr="006551AC">
        <w:rPr>
          <w:rFonts w:hint="eastAsia"/>
          <w:b/>
          <w:szCs w:val="21"/>
        </w:rPr>
        <w:t>国内方面，</w:t>
      </w:r>
      <w:r w:rsidR="008B582B" w:rsidRPr="006551AC">
        <w:rPr>
          <w:b/>
          <w:szCs w:val="21"/>
        </w:rPr>
        <w:t>9</w:t>
      </w:r>
      <w:r w:rsidR="008B582B" w:rsidRPr="006551AC">
        <w:rPr>
          <w:rFonts w:hint="eastAsia"/>
          <w:b/>
          <w:szCs w:val="21"/>
        </w:rPr>
        <w:t>月工业企业利润总额同比增速</w:t>
      </w:r>
      <w:r w:rsidR="008B582B" w:rsidRPr="006551AC">
        <w:rPr>
          <w:b/>
          <w:szCs w:val="21"/>
        </w:rPr>
        <w:t>27.7%</w:t>
      </w:r>
      <w:r w:rsidR="008B582B" w:rsidRPr="006551AC">
        <w:rPr>
          <w:rFonts w:hint="eastAsia"/>
          <w:b/>
          <w:szCs w:val="21"/>
        </w:rPr>
        <w:t>，较</w:t>
      </w:r>
      <w:r w:rsidR="008B582B" w:rsidRPr="006551AC">
        <w:rPr>
          <w:b/>
          <w:szCs w:val="21"/>
        </w:rPr>
        <w:t>8</w:t>
      </w:r>
      <w:r w:rsidR="008B582B" w:rsidRPr="006551AC">
        <w:rPr>
          <w:rFonts w:hint="eastAsia"/>
          <w:b/>
          <w:szCs w:val="21"/>
        </w:rPr>
        <w:t>月继续上升</w:t>
      </w:r>
      <w:r w:rsidR="006551AC" w:rsidRPr="006551AC">
        <w:rPr>
          <w:rFonts w:hint="eastAsia"/>
          <w:b/>
          <w:szCs w:val="21"/>
        </w:rPr>
        <w:t>。</w:t>
      </w:r>
    </w:p>
    <w:p w:rsidR="00574C83" w:rsidRDefault="006551AC" w:rsidP="006551AC">
      <w:pPr>
        <w:spacing w:line="360" w:lineRule="auto"/>
        <w:ind w:firstLineChars="200" w:firstLine="420"/>
        <w:rPr>
          <w:rFonts w:ascii="宋体" w:hAnsi="宋体" w:cstheme="minorBidi"/>
          <w:szCs w:val="21"/>
        </w:rPr>
      </w:pPr>
      <w:r w:rsidRPr="006551AC">
        <w:rPr>
          <w:rFonts w:ascii="宋体" w:hAnsi="宋体" w:cstheme="minorBidi"/>
          <w:szCs w:val="21"/>
        </w:rPr>
        <w:t>9</w:t>
      </w:r>
      <w:r w:rsidRPr="006551AC">
        <w:rPr>
          <w:rFonts w:ascii="宋体" w:hAnsi="宋体" w:cstheme="minorBidi" w:hint="eastAsia"/>
          <w:szCs w:val="21"/>
        </w:rPr>
        <w:t>月工业企业利润总额同比增速</w:t>
      </w:r>
      <w:r w:rsidRPr="006551AC">
        <w:rPr>
          <w:rFonts w:ascii="宋体" w:hAnsi="宋体" w:cstheme="minorBidi"/>
          <w:szCs w:val="21"/>
        </w:rPr>
        <w:t>27.7%</w:t>
      </w:r>
      <w:r w:rsidRPr="006551AC">
        <w:rPr>
          <w:rFonts w:ascii="宋体" w:hAnsi="宋体" w:cstheme="minorBidi" w:hint="eastAsia"/>
          <w:szCs w:val="21"/>
        </w:rPr>
        <w:t>，较</w:t>
      </w:r>
      <w:r w:rsidRPr="006551AC">
        <w:rPr>
          <w:rFonts w:ascii="宋体" w:hAnsi="宋体" w:cstheme="minorBidi"/>
          <w:szCs w:val="21"/>
        </w:rPr>
        <w:t>8</w:t>
      </w:r>
      <w:r w:rsidRPr="006551AC">
        <w:rPr>
          <w:rFonts w:ascii="宋体" w:hAnsi="宋体" w:cstheme="minorBidi" w:hint="eastAsia"/>
          <w:szCs w:val="21"/>
        </w:rPr>
        <w:t>月继续上升，主要</w:t>
      </w:r>
      <w:r>
        <w:rPr>
          <w:rFonts w:ascii="宋体" w:hAnsi="宋体" w:cstheme="minorBidi" w:hint="eastAsia"/>
          <w:szCs w:val="21"/>
        </w:rPr>
        <w:t>由于</w:t>
      </w:r>
      <w:r w:rsidRPr="006551AC">
        <w:rPr>
          <w:rFonts w:ascii="宋体" w:hAnsi="宋体" w:cstheme="minorBidi" w:hint="eastAsia"/>
          <w:szCs w:val="21"/>
        </w:rPr>
        <w:t>工业品价格稳中有升，工业生产销售加快，以及电力、酒和电子等行业拉动。</w:t>
      </w:r>
      <w:r w:rsidRPr="006551AC">
        <w:rPr>
          <w:rFonts w:ascii="宋体" w:hAnsi="宋体" w:cstheme="minorBidi"/>
          <w:szCs w:val="21"/>
        </w:rPr>
        <w:t>9</w:t>
      </w:r>
      <w:r w:rsidRPr="006551AC">
        <w:rPr>
          <w:rFonts w:ascii="宋体" w:hAnsi="宋体" w:cstheme="minorBidi" w:hint="eastAsia"/>
          <w:szCs w:val="21"/>
        </w:rPr>
        <w:t>月工业企业主营收入同比增速</w:t>
      </w:r>
      <w:r w:rsidRPr="006551AC">
        <w:rPr>
          <w:rFonts w:ascii="宋体" w:hAnsi="宋体" w:cstheme="minorBidi"/>
          <w:szCs w:val="21"/>
        </w:rPr>
        <w:t>10.8%</w:t>
      </w:r>
      <w:r w:rsidRPr="006551AC">
        <w:rPr>
          <w:rFonts w:ascii="宋体" w:hAnsi="宋体" w:cstheme="minorBidi" w:hint="eastAsia"/>
          <w:szCs w:val="21"/>
        </w:rPr>
        <w:t>，较</w:t>
      </w:r>
      <w:r w:rsidRPr="006551AC">
        <w:rPr>
          <w:rFonts w:ascii="宋体" w:hAnsi="宋体" w:cstheme="minorBidi"/>
          <w:szCs w:val="21"/>
        </w:rPr>
        <w:t>8</w:t>
      </w:r>
      <w:r w:rsidRPr="006551AC">
        <w:rPr>
          <w:rFonts w:ascii="宋体" w:hAnsi="宋体" w:cstheme="minorBidi" w:hint="eastAsia"/>
          <w:szCs w:val="21"/>
        </w:rPr>
        <w:t>月反弹回升，印证</w:t>
      </w:r>
      <w:r w:rsidRPr="006551AC">
        <w:rPr>
          <w:rFonts w:ascii="宋体" w:hAnsi="宋体" w:cstheme="minorBidi"/>
          <w:szCs w:val="21"/>
        </w:rPr>
        <w:t>9</w:t>
      </w:r>
      <w:r w:rsidRPr="006551AC">
        <w:rPr>
          <w:rFonts w:ascii="宋体" w:hAnsi="宋体" w:cstheme="minorBidi" w:hint="eastAsia"/>
          <w:szCs w:val="21"/>
        </w:rPr>
        <w:t>月工业增加值增速小幅回升，主要缘于价格走高、需求稳健。</w:t>
      </w:r>
      <w:r w:rsidRPr="006551AC">
        <w:rPr>
          <w:rFonts w:ascii="宋体" w:hAnsi="宋体" w:cstheme="minorBidi"/>
          <w:szCs w:val="21"/>
        </w:rPr>
        <w:t>9</w:t>
      </w:r>
      <w:r w:rsidRPr="006551AC">
        <w:rPr>
          <w:rFonts w:ascii="宋体" w:hAnsi="宋体" w:cstheme="minorBidi" w:hint="eastAsia"/>
          <w:szCs w:val="21"/>
        </w:rPr>
        <w:t>月工业产成品库存增速</w:t>
      </w:r>
      <w:r w:rsidRPr="006551AC">
        <w:rPr>
          <w:rFonts w:ascii="宋体" w:hAnsi="宋体" w:cstheme="minorBidi"/>
          <w:szCs w:val="21"/>
        </w:rPr>
        <w:t>7.8%</w:t>
      </w:r>
      <w:r w:rsidRPr="006551AC">
        <w:rPr>
          <w:rFonts w:ascii="宋体" w:hAnsi="宋体" w:cstheme="minorBidi" w:hint="eastAsia"/>
          <w:szCs w:val="21"/>
        </w:rPr>
        <w:t>，连续</w:t>
      </w:r>
      <w:r w:rsidRPr="006551AC">
        <w:rPr>
          <w:rFonts w:ascii="宋体" w:hAnsi="宋体" w:cstheme="minorBidi"/>
          <w:szCs w:val="21"/>
        </w:rPr>
        <w:t>5</w:t>
      </w:r>
      <w:r w:rsidRPr="006551AC">
        <w:rPr>
          <w:rFonts w:ascii="宋体" w:hAnsi="宋体" w:cstheme="minorBidi" w:hint="eastAsia"/>
          <w:szCs w:val="21"/>
        </w:rPr>
        <w:t>个月下滑。库存销售比</w:t>
      </w:r>
      <w:r w:rsidRPr="006551AC">
        <w:rPr>
          <w:rFonts w:ascii="宋体" w:hAnsi="宋体" w:cstheme="minorBidi"/>
          <w:szCs w:val="21"/>
        </w:rPr>
        <w:t>0.404</w:t>
      </w:r>
      <w:r w:rsidRPr="006551AC">
        <w:rPr>
          <w:rFonts w:ascii="宋体" w:hAnsi="宋体" w:cstheme="minorBidi" w:hint="eastAsia"/>
          <w:szCs w:val="21"/>
        </w:rPr>
        <w:t>，低于去年同期。存货周转天数</w:t>
      </w:r>
      <w:r w:rsidRPr="006551AC">
        <w:rPr>
          <w:rFonts w:ascii="宋体" w:hAnsi="宋体" w:cstheme="minorBidi"/>
          <w:szCs w:val="21"/>
        </w:rPr>
        <w:t>13.7</w:t>
      </w:r>
      <w:r w:rsidRPr="006551AC">
        <w:rPr>
          <w:rFonts w:ascii="宋体" w:hAnsi="宋体" w:cstheme="minorBidi" w:hint="eastAsia"/>
          <w:szCs w:val="21"/>
        </w:rPr>
        <w:t>天，同比减少</w:t>
      </w:r>
      <w:r w:rsidRPr="006551AC">
        <w:rPr>
          <w:rFonts w:ascii="宋体" w:hAnsi="宋体" w:cstheme="minorBidi"/>
          <w:szCs w:val="21"/>
        </w:rPr>
        <w:t>0.6</w:t>
      </w:r>
      <w:r w:rsidRPr="006551AC">
        <w:rPr>
          <w:rFonts w:ascii="宋体" w:hAnsi="宋体" w:cstheme="minorBidi" w:hint="eastAsia"/>
          <w:szCs w:val="21"/>
        </w:rPr>
        <w:t>天，均指向库存继续去化。</w:t>
      </w:r>
    </w:p>
    <w:p w:rsidR="007D5ABC" w:rsidRPr="00574C83" w:rsidRDefault="007D5ABC" w:rsidP="006551AC">
      <w:pPr>
        <w:spacing w:line="360" w:lineRule="auto"/>
        <w:ind w:firstLineChars="200" w:firstLine="420"/>
        <w:rPr>
          <w:rFonts w:ascii="宋体" w:hAnsi="宋体" w:cstheme="minorBidi"/>
          <w:szCs w:val="21"/>
        </w:rPr>
      </w:pPr>
    </w:p>
    <w:p w:rsidR="008D1D9E" w:rsidRPr="0076605A" w:rsidRDefault="00886C4D" w:rsidP="008D1D9E">
      <w:pPr>
        <w:spacing w:line="360" w:lineRule="auto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 xml:space="preserve">    </w:t>
      </w:r>
      <w:r w:rsidR="0061496E">
        <w:rPr>
          <w:rFonts w:asciiTheme="minorEastAsia" w:hAnsiTheme="minorEastAsia" w:hint="eastAsia"/>
          <w:b/>
          <w:szCs w:val="21"/>
        </w:rPr>
        <w:t>二、</w:t>
      </w:r>
      <w:r w:rsidR="0076605A" w:rsidRPr="008304C9">
        <w:rPr>
          <w:rFonts w:asciiTheme="minorEastAsia" w:hAnsiTheme="minorEastAsia" w:hint="eastAsia"/>
          <w:b/>
          <w:szCs w:val="21"/>
        </w:rPr>
        <w:t>资金面：</w:t>
      </w:r>
      <w:r w:rsidR="0076605A" w:rsidRPr="0088592F">
        <w:rPr>
          <w:rFonts w:asciiTheme="minorEastAsia" w:hAnsiTheme="minorEastAsia" w:hint="eastAsia"/>
          <w:b/>
          <w:szCs w:val="21"/>
        </w:rPr>
        <w:t>本周资金面收紧，央行启动63天逆回购操作，但对资金面整体影响有限，月末资金面习惯性收紧，下周月末最后两个交易日仍需保持警惕，资金紧张情况或将延续至月底，交易所融资成本仍将继续抬升</w:t>
      </w:r>
      <w:r w:rsidR="0076605A">
        <w:rPr>
          <w:rFonts w:asciiTheme="minorEastAsia" w:hAnsiTheme="minorEastAsia" w:hint="eastAsia"/>
          <w:b/>
          <w:szCs w:val="21"/>
        </w:rPr>
        <w:t>。</w:t>
      </w:r>
    </w:p>
    <w:p w:rsidR="0076605A" w:rsidRDefault="0076605A" w:rsidP="0076605A">
      <w:pPr>
        <w:spacing w:line="360" w:lineRule="auto"/>
        <w:ind w:firstLineChars="200" w:firstLine="422"/>
        <w:rPr>
          <w:rFonts w:asciiTheme="minorEastAsia" w:hAnsiTheme="minorEastAsia"/>
          <w:szCs w:val="21"/>
        </w:rPr>
      </w:pPr>
      <w:r w:rsidRPr="00DB3C44">
        <w:rPr>
          <w:rFonts w:asciiTheme="minorEastAsia" w:hAnsiTheme="minorEastAsia" w:hint="eastAsia"/>
          <w:b/>
          <w:szCs w:val="21"/>
        </w:rPr>
        <w:t>回购：</w:t>
      </w:r>
      <w:r>
        <w:rPr>
          <w:rFonts w:asciiTheme="minorEastAsia" w:hAnsiTheme="minorEastAsia" w:hint="eastAsia"/>
          <w:szCs w:val="21"/>
        </w:rPr>
        <w:t>本周央行公开市场净投放3900亿元，公开市场操作利率无变动。截止27日，银行间各期限回购加权利率较上周显著上行，隔夜品种加权利率上行至2.90，成交量降至17000亿元左右，交易所GC001单周加权利率反弹至3.54，日均成交量继续降至约7200亿</w:t>
      </w:r>
      <w:r>
        <w:rPr>
          <w:rFonts w:asciiTheme="minorEastAsia" w:hAnsiTheme="minorEastAsia" w:hint="eastAsia"/>
          <w:szCs w:val="21"/>
        </w:rPr>
        <w:lastRenderedPageBreak/>
        <w:t>元。公开市场操作存量（回购+MLF）继续上行，银行间融资余额有所下行。本周资金面收紧，央行启动63天逆回购操作，但对资金面整体影响有限，月末资金面习惯性收紧，下周月末最后两个交易日仍需保持警惕，资金紧张情况或将延续至月底，交易所融资成本仍将继续抬升。</w:t>
      </w:r>
    </w:p>
    <w:p w:rsidR="0076605A" w:rsidRDefault="0076605A" w:rsidP="00886C4D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央行公开市场操作情况</w:t>
      </w:r>
    </w:p>
    <w:p w:rsidR="0076605A" w:rsidRDefault="0044779B" w:rsidP="0076605A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44779B">
        <w:rPr>
          <w:rFonts w:asciiTheme="minorEastAsia" w:hAnsiTheme="minorEastAsia"/>
          <w:noProof/>
          <w:szCs w:val="21"/>
        </w:rPr>
        <w:drawing>
          <wp:inline distT="0" distB="0" distL="0" distR="0">
            <wp:extent cx="5273883" cy="3105509"/>
            <wp:effectExtent l="19050" t="0" r="2967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883" cy="310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C4D" w:rsidRDefault="00886C4D" w:rsidP="00886C4D">
      <w:pPr>
        <w:spacing w:line="360" w:lineRule="auto"/>
        <w:rPr>
          <w:rFonts w:asciiTheme="minorEastAsia" w:hAnsiTheme="minorEastAsia" w:hint="eastAsia"/>
          <w:szCs w:val="21"/>
        </w:rPr>
      </w:pPr>
    </w:p>
    <w:p w:rsidR="0076605A" w:rsidRPr="008304C9" w:rsidRDefault="0076605A" w:rsidP="00886C4D">
      <w:pPr>
        <w:spacing w:line="360" w:lineRule="auto"/>
        <w:rPr>
          <w:rFonts w:asciiTheme="minorEastAsia" w:hAnsiTheme="minorEastAsia"/>
          <w:szCs w:val="21"/>
          <w:highlight w:val="yellow"/>
        </w:rPr>
      </w:pPr>
      <w:r w:rsidRPr="008304C9">
        <w:rPr>
          <w:rFonts w:asciiTheme="minorEastAsia" w:hAnsiTheme="minorEastAsia" w:hint="eastAsia"/>
          <w:szCs w:val="21"/>
        </w:rPr>
        <w:t>近期</w:t>
      </w:r>
      <w:r>
        <w:rPr>
          <w:rFonts w:asciiTheme="minorEastAsia" w:hAnsiTheme="minorEastAsia" w:hint="eastAsia"/>
          <w:szCs w:val="21"/>
        </w:rPr>
        <w:t>银行间</w:t>
      </w:r>
      <w:r w:rsidRPr="008304C9">
        <w:rPr>
          <w:rFonts w:asciiTheme="minorEastAsia" w:hAnsiTheme="minorEastAsia" w:hint="eastAsia"/>
          <w:szCs w:val="21"/>
        </w:rPr>
        <w:t>回购主要品种收益率</w:t>
      </w:r>
      <w:r>
        <w:rPr>
          <w:rFonts w:asciiTheme="minorEastAsia" w:hAnsiTheme="minorEastAsia" w:hint="eastAsia"/>
          <w:szCs w:val="21"/>
        </w:rPr>
        <w:t>较上周</w:t>
      </w:r>
      <w:r w:rsidRPr="008304C9">
        <w:rPr>
          <w:rFonts w:asciiTheme="minorEastAsia" w:hAnsiTheme="minorEastAsia" w:hint="eastAsia"/>
          <w:szCs w:val="21"/>
        </w:rPr>
        <w:t>变动</w:t>
      </w:r>
    </w:p>
    <w:p w:rsidR="0076605A" w:rsidRPr="008304C9" w:rsidRDefault="0076605A" w:rsidP="004F4564">
      <w:pPr>
        <w:spacing w:line="360" w:lineRule="auto"/>
        <w:rPr>
          <w:rFonts w:asciiTheme="minorEastAsia" w:hAnsiTheme="minorEastAsia"/>
          <w:color w:val="FF0000"/>
          <w:szCs w:val="21"/>
          <w:highlight w:val="yellow"/>
        </w:rPr>
      </w:pPr>
      <w:r w:rsidRPr="00C1300B">
        <w:rPr>
          <w:noProof/>
          <w:szCs w:val="21"/>
        </w:rPr>
        <w:drawing>
          <wp:inline distT="0" distB="0" distL="0" distR="0">
            <wp:extent cx="4248150" cy="1905000"/>
            <wp:effectExtent l="1905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05A" w:rsidRDefault="0076605A" w:rsidP="0076605A">
      <w:pPr>
        <w:spacing w:line="360" w:lineRule="auto"/>
        <w:jc w:val="center"/>
        <w:rPr>
          <w:rFonts w:asciiTheme="minorEastAsia" w:hAnsiTheme="minorEastAsia"/>
          <w:color w:val="FF0000"/>
          <w:szCs w:val="21"/>
          <w:highlight w:val="yellow"/>
        </w:rPr>
      </w:pPr>
      <w:r w:rsidRPr="00C1300B">
        <w:rPr>
          <w:noProof/>
          <w:szCs w:val="21"/>
        </w:rPr>
        <w:lastRenderedPageBreak/>
        <w:drawing>
          <wp:inline distT="0" distB="0" distL="0" distR="0">
            <wp:extent cx="5274310" cy="1896440"/>
            <wp:effectExtent l="19050" t="0" r="254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C4D" w:rsidRDefault="00886C4D" w:rsidP="00886C4D">
      <w:pPr>
        <w:spacing w:line="360" w:lineRule="auto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</w:t>
      </w:r>
    </w:p>
    <w:p w:rsidR="0076605A" w:rsidRDefault="00886C4D" w:rsidP="00886C4D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</w:t>
      </w:r>
      <w:r w:rsidR="0076605A" w:rsidRPr="00953571">
        <w:rPr>
          <w:rFonts w:asciiTheme="minorEastAsia" w:hAnsiTheme="minorEastAsia" w:hint="eastAsia"/>
          <w:szCs w:val="21"/>
        </w:rPr>
        <w:t>交易所</w:t>
      </w:r>
      <w:r w:rsidR="0076605A">
        <w:rPr>
          <w:rFonts w:asciiTheme="minorEastAsia" w:hAnsiTheme="minorEastAsia" w:hint="eastAsia"/>
          <w:szCs w:val="21"/>
        </w:rPr>
        <w:t>隔夜品种（GC001）利率变动情况</w:t>
      </w:r>
    </w:p>
    <w:p w:rsidR="0076605A" w:rsidRDefault="0076605A" w:rsidP="0076605A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C1300B">
        <w:rPr>
          <w:noProof/>
          <w:szCs w:val="21"/>
        </w:rPr>
        <w:drawing>
          <wp:inline distT="0" distB="0" distL="0" distR="0">
            <wp:extent cx="5274310" cy="2053548"/>
            <wp:effectExtent l="19050" t="0" r="254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05A" w:rsidRPr="00E02D5E" w:rsidRDefault="0076605A" w:rsidP="0076605A">
      <w:pPr>
        <w:spacing w:line="360" w:lineRule="auto"/>
        <w:ind w:firstLineChars="200" w:firstLine="360"/>
        <w:rPr>
          <w:rFonts w:asciiTheme="minorEastAsia" w:hAnsiTheme="minorEastAsia"/>
          <w:sz w:val="18"/>
          <w:szCs w:val="18"/>
        </w:rPr>
      </w:pPr>
      <w:r w:rsidRPr="00E02D5E">
        <w:rPr>
          <w:rFonts w:asciiTheme="minorEastAsia" w:hAnsiTheme="minorEastAsia" w:hint="eastAsia"/>
          <w:sz w:val="18"/>
          <w:szCs w:val="18"/>
        </w:rPr>
        <w:t>备注</w:t>
      </w:r>
      <w:r>
        <w:rPr>
          <w:rFonts w:asciiTheme="minorEastAsia" w:hAnsiTheme="minorEastAsia" w:hint="eastAsia"/>
          <w:sz w:val="18"/>
          <w:szCs w:val="18"/>
        </w:rPr>
        <w:t>：上图表示GC001每周加权利率的变动情况</w:t>
      </w:r>
    </w:p>
    <w:p w:rsidR="00886C4D" w:rsidRDefault="00886C4D" w:rsidP="0076605A">
      <w:pPr>
        <w:spacing w:line="360" w:lineRule="auto"/>
        <w:ind w:firstLineChars="200" w:firstLine="422"/>
        <w:rPr>
          <w:rFonts w:asciiTheme="minorEastAsia" w:hAnsiTheme="minorEastAsia" w:hint="eastAsia"/>
          <w:b/>
          <w:szCs w:val="21"/>
        </w:rPr>
      </w:pPr>
    </w:p>
    <w:p w:rsidR="0076605A" w:rsidRDefault="0076605A" w:rsidP="0076605A">
      <w:pPr>
        <w:spacing w:line="360" w:lineRule="auto"/>
        <w:ind w:firstLineChars="200" w:firstLine="422"/>
        <w:rPr>
          <w:rFonts w:asciiTheme="minorEastAsia" w:hAnsiTheme="minorEastAsia"/>
          <w:szCs w:val="21"/>
        </w:rPr>
      </w:pPr>
      <w:r w:rsidRPr="00C80921">
        <w:rPr>
          <w:rFonts w:asciiTheme="minorEastAsia" w:hAnsiTheme="minorEastAsia" w:hint="eastAsia"/>
          <w:b/>
          <w:szCs w:val="21"/>
        </w:rPr>
        <w:t>同业存款：</w:t>
      </w:r>
      <w:r>
        <w:rPr>
          <w:rFonts w:asciiTheme="minorEastAsia" w:hAnsiTheme="minorEastAsia" w:hint="eastAsia"/>
          <w:szCs w:val="21"/>
        </w:rPr>
        <w:t>本周同业存单发行量降至不足4400亿元，发行主要集中在6个月内及1年期品种，其中股份制银行1个月存单价格维持在4.00，周中一度降至3.90,3个月存单价格维持在4.53左右，6个月存单价格小幅上行至4.53附近。同业存款方面，1个月内品种价格有所抬升，其余品种价格无明显变动。</w:t>
      </w:r>
    </w:p>
    <w:p w:rsidR="0076605A" w:rsidRDefault="0076605A" w:rsidP="0076605A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同业价格分布</w:t>
      </w:r>
    </w:p>
    <w:p w:rsidR="0076605A" w:rsidRDefault="0076605A" w:rsidP="0076605A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C1300B">
        <w:rPr>
          <w:noProof/>
          <w:szCs w:val="21"/>
        </w:rPr>
        <w:drawing>
          <wp:inline distT="0" distB="0" distL="0" distR="0">
            <wp:extent cx="4848225" cy="1524000"/>
            <wp:effectExtent l="19050" t="0" r="9525" b="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ABC" w:rsidRDefault="007D5ABC" w:rsidP="0076605A">
      <w:pPr>
        <w:spacing w:line="360" w:lineRule="auto"/>
        <w:jc w:val="center"/>
        <w:rPr>
          <w:rFonts w:asciiTheme="minorEastAsia" w:hAnsiTheme="minorEastAsia"/>
          <w:szCs w:val="21"/>
        </w:rPr>
      </w:pPr>
    </w:p>
    <w:p w:rsidR="001F509A" w:rsidRPr="006565AB" w:rsidRDefault="0061496E" w:rsidP="00886C4D">
      <w:pPr>
        <w:spacing w:line="360" w:lineRule="auto"/>
        <w:ind w:firstLineChars="200" w:firstLine="422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lastRenderedPageBreak/>
        <w:t>三、</w:t>
      </w:r>
      <w:r w:rsidR="00A0594C" w:rsidRPr="00C103CB">
        <w:rPr>
          <w:rFonts w:asciiTheme="minorEastAsia" w:hAnsiTheme="minorEastAsia" w:hint="eastAsia"/>
          <w:b/>
          <w:szCs w:val="21"/>
        </w:rPr>
        <w:t>现券：</w:t>
      </w:r>
      <w:bookmarkEnd w:id="0"/>
      <w:bookmarkEnd w:id="1"/>
      <w:r w:rsidR="001F509A" w:rsidRPr="00315AD7">
        <w:rPr>
          <w:rFonts w:asciiTheme="minorEastAsia" w:hAnsiTheme="minorEastAsia" w:hint="eastAsia"/>
          <w:b/>
          <w:szCs w:val="21"/>
        </w:rPr>
        <w:t>本周利率债收益率大幅上行，主要诱因为对监管及基本面的担忧，同时美债收益率的不断上行亦影响现券交投情绪，周中传言同业负债占比上限要从三分之一降至25%，收益率应声大幅上行，后央行虽出面证实传言不实但市场仍维持弱势，央行启动63天逆回购，但从量价上分析对资金面影响不大。下阶段交投仍需谨慎，月末现券难改弱势，月初需关注各项经济数据</w:t>
      </w:r>
      <w:r w:rsidR="001F509A">
        <w:rPr>
          <w:rFonts w:asciiTheme="minorEastAsia" w:hAnsiTheme="minorEastAsia" w:hint="eastAsia"/>
          <w:b/>
          <w:szCs w:val="21"/>
        </w:rPr>
        <w:t>。</w:t>
      </w:r>
    </w:p>
    <w:p w:rsidR="001F509A" w:rsidRDefault="001F509A" w:rsidP="001F509A">
      <w:pPr>
        <w:spacing w:line="360" w:lineRule="auto"/>
        <w:rPr>
          <w:rFonts w:asciiTheme="minorEastAsia" w:hAnsiTheme="minorEastAsia"/>
          <w:szCs w:val="21"/>
        </w:rPr>
      </w:pPr>
      <w:r w:rsidRPr="0050535E">
        <w:rPr>
          <w:rFonts w:asciiTheme="minorEastAsia" w:hAnsiTheme="minorEastAsia" w:hint="eastAsia"/>
          <w:szCs w:val="21"/>
        </w:rPr>
        <w:t>现券一级市场发行情况统计</w:t>
      </w:r>
    </w:p>
    <w:p w:rsidR="001F509A" w:rsidRDefault="001F509A" w:rsidP="001F509A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C1300B">
        <w:rPr>
          <w:noProof/>
          <w:szCs w:val="21"/>
        </w:rPr>
        <w:drawing>
          <wp:inline distT="0" distB="0" distL="0" distR="0">
            <wp:extent cx="5153025" cy="2247900"/>
            <wp:effectExtent l="19050" t="0" r="9525" b="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C4D" w:rsidRDefault="00886C4D" w:rsidP="001F509A">
      <w:pPr>
        <w:spacing w:line="360" w:lineRule="auto"/>
        <w:rPr>
          <w:rFonts w:asciiTheme="minorEastAsia" w:hAnsiTheme="minorEastAsia" w:hint="eastAsia"/>
          <w:szCs w:val="21"/>
        </w:rPr>
      </w:pPr>
    </w:p>
    <w:p w:rsidR="001F509A" w:rsidRDefault="001F509A" w:rsidP="001F509A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利率债一级市场发行情况</w:t>
      </w:r>
    </w:p>
    <w:p w:rsidR="001F509A" w:rsidRPr="00A23EF0" w:rsidRDefault="001F509A" w:rsidP="001F509A">
      <w:pPr>
        <w:spacing w:line="360" w:lineRule="auto"/>
        <w:jc w:val="center"/>
        <w:rPr>
          <w:rFonts w:asciiTheme="minorEastAsia" w:hAnsiTheme="minorEastAsia"/>
          <w:szCs w:val="21"/>
        </w:rPr>
      </w:pPr>
      <w:r w:rsidRPr="00C1300B">
        <w:rPr>
          <w:noProof/>
          <w:szCs w:val="21"/>
        </w:rPr>
        <w:drawing>
          <wp:inline distT="0" distB="0" distL="0" distR="0">
            <wp:extent cx="5274310" cy="2678576"/>
            <wp:effectExtent l="19050" t="0" r="254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C4D" w:rsidRDefault="00886C4D" w:rsidP="001F509A">
      <w:pPr>
        <w:spacing w:line="360" w:lineRule="auto"/>
        <w:ind w:firstLineChars="200" w:firstLine="422"/>
        <w:rPr>
          <w:rFonts w:asciiTheme="minorEastAsia" w:hAnsiTheme="minorEastAsia" w:hint="eastAsia"/>
          <w:b/>
          <w:szCs w:val="21"/>
        </w:rPr>
      </w:pPr>
    </w:p>
    <w:p w:rsidR="001F509A" w:rsidRDefault="001F509A" w:rsidP="001F509A">
      <w:pPr>
        <w:spacing w:line="360" w:lineRule="auto"/>
        <w:ind w:firstLineChars="200" w:firstLine="422"/>
        <w:rPr>
          <w:rFonts w:asciiTheme="minorEastAsia" w:hAnsiTheme="minorEastAsia"/>
          <w:szCs w:val="21"/>
        </w:rPr>
      </w:pPr>
      <w:r w:rsidRPr="00C33FE8">
        <w:rPr>
          <w:rFonts w:asciiTheme="minorEastAsia" w:hAnsiTheme="minorEastAsia" w:hint="eastAsia"/>
          <w:b/>
          <w:szCs w:val="21"/>
        </w:rPr>
        <w:t>利率债方面：</w:t>
      </w:r>
      <w:r>
        <w:rPr>
          <w:rFonts w:asciiTheme="minorEastAsia" w:hAnsiTheme="minorEastAsia" w:hint="eastAsia"/>
          <w:szCs w:val="21"/>
        </w:rPr>
        <w:t>一级市场方面，利率债招标结果尚可，但整体需求一般。二级市场方面，利率债收益率大幅上行。具体来看，10年期国债活跃品种收益率较上周上行约10bp，10年期金债收益率较上周上行约9bp。本周利率债收益率大幅上行，主要诱因为对监管及基本面</w:t>
      </w:r>
      <w:r>
        <w:rPr>
          <w:rFonts w:asciiTheme="minorEastAsia" w:hAnsiTheme="minorEastAsia" w:hint="eastAsia"/>
          <w:szCs w:val="21"/>
        </w:rPr>
        <w:lastRenderedPageBreak/>
        <w:t>的担忧，同时美债收益率的不断上行亦影响现券交投情绪，周中传言同业负债占比上限要从三分之一降至25%，收益率应声大幅上行，后央行虽出面证实传言不实但市场仍维持弱势，央行启动63天逆回购，但从量价上分析对资金面影响不大。下阶段交投仍需谨慎，月末现券难改弱势，月初需关注各项经济数据。</w:t>
      </w:r>
    </w:p>
    <w:p w:rsidR="001F509A" w:rsidRDefault="001F509A" w:rsidP="00886C4D">
      <w:pPr>
        <w:spacing w:line="36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利率债活跃品种收益率</w:t>
      </w:r>
    </w:p>
    <w:p w:rsidR="001F509A" w:rsidRDefault="001F509A" w:rsidP="004F4564">
      <w:pPr>
        <w:spacing w:line="360" w:lineRule="auto"/>
        <w:rPr>
          <w:rFonts w:asciiTheme="minorEastAsia" w:hAnsiTheme="minorEastAsia"/>
          <w:szCs w:val="21"/>
        </w:rPr>
      </w:pPr>
      <w:r w:rsidRPr="00282268">
        <w:rPr>
          <w:noProof/>
          <w:szCs w:val="21"/>
        </w:rPr>
        <w:drawing>
          <wp:inline distT="0" distB="0" distL="0" distR="0">
            <wp:extent cx="4286250" cy="2943225"/>
            <wp:effectExtent l="19050" t="0" r="0" b="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C4D" w:rsidRDefault="00886C4D" w:rsidP="00886C4D">
      <w:pPr>
        <w:spacing w:line="360" w:lineRule="auto"/>
        <w:rPr>
          <w:rFonts w:asciiTheme="minorEastAsia" w:hAnsiTheme="minorEastAsia" w:hint="eastAsia"/>
          <w:szCs w:val="21"/>
        </w:rPr>
      </w:pPr>
    </w:p>
    <w:p w:rsidR="001F509A" w:rsidRPr="004769DB" w:rsidRDefault="001F509A" w:rsidP="00886C4D">
      <w:pPr>
        <w:spacing w:line="360" w:lineRule="auto"/>
        <w:rPr>
          <w:rFonts w:asciiTheme="minorEastAsia" w:hAnsiTheme="minorEastAsia"/>
          <w:szCs w:val="21"/>
        </w:rPr>
      </w:pPr>
      <w:r w:rsidRPr="004769DB">
        <w:rPr>
          <w:rFonts w:asciiTheme="minorEastAsia" w:hAnsiTheme="minorEastAsia" w:hint="eastAsia"/>
          <w:szCs w:val="21"/>
        </w:rPr>
        <w:t>利率债关键期限收益率曲线</w:t>
      </w:r>
    </w:p>
    <w:p w:rsidR="001F509A" w:rsidRPr="003E235B" w:rsidRDefault="001F509A" w:rsidP="001F509A">
      <w:pPr>
        <w:spacing w:line="360" w:lineRule="auto"/>
        <w:jc w:val="center"/>
        <w:rPr>
          <w:rFonts w:asciiTheme="minorEastAsia" w:hAnsiTheme="minorEastAsia"/>
          <w:szCs w:val="21"/>
          <w:highlight w:val="yellow"/>
        </w:rPr>
      </w:pPr>
      <w:r w:rsidRPr="00282268">
        <w:rPr>
          <w:noProof/>
          <w:szCs w:val="21"/>
        </w:rPr>
        <w:drawing>
          <wp:inline distT="0" distB="0" distL="0" distR="0">
            <wp:extent cx="5086350" cy="1533525"/>
            <wp:effectExtent l="19050" t="0" r="0" b="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C4D" w:rsidRDefault="00886C4D" w:rsidP="007D5ABC">
      <w:pPr>
        <w:spacing w:line="360" w:lineRule="auto"/>
        <w:ind w:firstLineChars="200" w:firstLine="422"/>
        <w:rPr>
          <w:rFonts w:asciiTheme="minorEastAsia" w:hAnsiTheme="minorEastAsia" w:hint="eastAsia"/>
          <w:b/>
          <w:szCs w:val="21"/>
        </w:rPr>
      </w:pPr>
    </w:p>
    <w:p w:rsidR="005F28B6" w:rsidRDefault="001F509A" w:rsidP="007D5ABC">
      <w:pPr>
        <w:spacing w:line="360" w:lineRule="auto"/>
        <w:ind w:firstLineChars="200" w:firstLine="422"/>
        <w:rPr>
          <w:rFonts w:asciiTheme="minorEastAsia" w:hAnsiTheme="minorEastAsia" w:hint="eastAsia"/>
          <w:szCs w:val="21"/>
        </w:rPr>
      </w:pPr>
      <w:r w:rsidRPr="00022D5E">
        <w:rPr>
          <w:rFonts w:asciiTheme="minorEastAsia" w:hAnsiTheme="minorEastAsia" w:hint="eastAsia"/>
          <w:b/>
          <w:szCs w:val="21"/>
        </w:rPr>
        <w:t>信用债方面：</w:t>
      </w:r>
      <w:r>
        <w:rPr>
          <w:rFonts w:asciiTheme="minorEastAsia" w:hAnsiTheme="minorEastAsia" w:hint="eastAsia"/>
          <w:szCs w:val="21"/>
        </w:rPr>
        <w:t>二级市场方面，短端伴随资金面收紧收益率有所上行，长端收益率跟随利率债收益率有所上行。具体来看，短融成交以3个月内AA+以上品种为主，中票成交以3年内AAA品种为主，企业债成交以5年内AA以上品种为主。短融方面，90天以上品种收益率微幅上行，整体变动不大；中票、企业债方面，收益率上行，上行幅度在10bp以内。</w:t>
      </w:r>
    </w:p>
    <w:p w:rsidR="00886C4D" w:rsidRDefault="00886C4D" w:rsidP="00886C4D">
      <w:pPr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</w:p>
    <w:p w:rsidR="00886C4D" w:rsidRDefault="00886C4D" w:rsidP="00886C4D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886C4D" w:rsidRDefault="00886C4D" w:rsidP="00886C4D">
      <w:pPr>
        <w:spacing w:line="360" w:lineRule="auto"/>
        <w:ind w:firstLineChars="200" w:firstLine="422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lastRenderedPageBreak/>
        <w:t>四、公司观点</w:t>
      </w:r>
    </w:p>
    <w:p w:rsidR="005F28B6" w:rsidRDefault="007D5ABC" w:rsidP="00886C4D">
      <w:pPr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9月工业企业利润总额同比增速仍处于高位，但地产销售仍较弱、且新开工同比增速放缓，表明经济持续向好，但动能不足。海外方面，美国12月加息概率较大，欧央行缩减月度购债规模，对国内债市的利空</w:t>
      </w:r>
      <w:r w:rsidR="00975D53">
        <w:rPr>
          <w:rFonts w:asciiTheme="minorEastAsia" w:hAnsiTheme="minorEastAsia" w:hint="eastAsia"/>
          <w:szCs w:val="21"/>
        </w:rPr>
        <w:t>效应</w:t>
      </w:r>
      <w:r>
        <w:rPr>
          <w:rFonts w:asciiTheme="minorEastAsia" w:hAnsiTheme="minorEastAsia" w:hint="eastAsia"/>
          <w:szCs w:val="21"/>
        </w:rPr>
        <w:t>短期内无法消除</w:t>
      </w:r>
      <w:r w:rsidR="00975D53">
        <w:rPr>
          <w:rFonts w:asciiTheme="minorEastAsia" w:hAnsiTheme="minorEastAsia" w:hint="eastAsia"/>
          <w:szCs w:val="21"/>
        </w:rPr>
        <w:t>。国内债市遇利空即快速下跌，显示市场脆弱、投资者信心不足。近期建议，鉴于债市对监管政策和基本面的忧虑短期内未能消除，资金面波动压力较大，建议谨慎。</w:t>
      </w:r>
    </w:p>
    <w:p w:rsidR="00531FD3" w:rsidRDefault="00531FD3" w:rsidP="00531FD3">
      <w:pPr>
        <w:widowControl/>
        <w:ind w:firstLineChars="200" w:firstLine="482"/>
        <w:jc w:val="left"/>
        <w:rPr>
          <w:rFonts w:asciiTheme="minorEastAsia" w:hAnsiTheme="minorEastAsia" w:hint="eastAsia"/>
          <w:b/>
          <w:bCs/>
          <w:kern w:val="44"/>
          <w:sz w:val="24"/>
          <w:szCs w:val="44"/>
        </w:rPr>
      </w:pPr>
    </w:p>
    <w:p w:rsidR="00531FD3" w:rsidRDefault="00531FD3" w:rsidP="00531FD3">
      <w:pPr>
        <w:widowControl/>
        <w:ind w:firstLineChars="200" w:firstLine="482"/>
        <w:jc w:val="left"/>
      </w:pPr>
      <w:r w:rsidRPr="00073563">
        <w:rPr>
          <w:rFonts w:asciiTheme="minorEastAsia" w:hAnsiTheme="minorEastAsia" w:hint="eastAsia"/>
          <w:b/>
          <w:bCs/>
          <w:kern w:val="44"/>
          <w:sz w:val="24"/>
          <w:szCs w:val="44"/>
        </w:rPr>
        <w:t>声明：</w:t>
      </w:r>
      <w:r>
        <w:rPr>
          <w:rFonts w:hint="eastAsia"/>
        </w:rPr>
        <w:t xml:space="preserve"> </w:t>
      </w:r>
    </w:p>
    <w:p w:rsidR="00531FD3" w:rsidRDefault="00531FD3" w:rsidP="00531FD3">
      <w:pPr>
        <w:widowControl/>
        <w:jc w:val="left"/>
      </w:pPr>
    </w:p>
    <w:p w:rsidR="00531FD3" w:rsidRPr="00C43531" w:rsidRDefault="00531FD3" w:rsidP="00531FD3">
      <w:pPr>
        <w:widowControl/>
        <w:spacing w:line="360" w:lineRule="auto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 xml:space="preserve">    本报告中的信息均来源于已公开的资料，我公司对这些信息的准确性及完整性不作任何保证。 </w:t>
      </w:r>
    </w:p>
    <w:p w:rsidR="00531FD3" w:rsidRPr="00C43531" w:rsidRDefault="00531FD3" w:rsidP="00531FD3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>在任何情况下，报告中的信息或所表达的意见并不构成证券买卖的出价或询价。在任何情况下，我公司不就报告中的任何投资做出任何形式的担保。本报告内容和意见不构成投资建议，仅供参考，使用前务必请核实，风险自负。</w:t>
      </w:r>
    </w:p>
    <w:p w:rsidR="00531FD3" w:rsidRPr="007A39EE" w:rsidRDefault="00531FD3" w:rsidP="00531FD3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>本报告版权归兴银基金管理有限责任公司所有，未获得兴银基金管理有限责任公司事先出面授权，任何人不得对本报告进行任何形式的发布、复制。</w:t>
      </w:r>
    </w:p>
    <w:p w:rsidR="00531FD3" w:rsidRPr="00531FD3" w:rsidRDefault="00531FD3" w:rsidP="00886C4D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5B0176" w:rsidRPr="00687C9B" w:rsidRDefault="005B0176" w:rsidP="001C7C23">
      <w:pPr>
        <w:autoSpaceDE w:val="0"/>
        <w:autoSpaceDN w:val="0"/>
        <w:adjustRightInd w:val="0"/>
        <w:spacing w:line="360" w:lineRule="auto"/>
        <w:ind w:firstLine="412"/>
        <w:rPr>
          <w:rFonts w:ascii="Arial" w:hAnsi="Arial" w:cs="Arial"/>
          <w:b/>
          <w:bCs/>
          <w:szCs w:val="21"/>
        </w:rPr>
      </w:pPr>
    </w:p>
    <w:sectPr w:rsidR="005B0176" w:rsidRPr="00687C9B" w:rsidSect="00F84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D7A" w:rsidRDefault="00DE6D7A" w:rsidP="00E558A4">
      <w:r>
        <w:separator/>
      </w:r>
    </w:p>
  </w:endnote>
  <w:endnote w:type="continuationSeparator" w:id="1">
    <w:p w:rsidR="00DE6D7A" w:rsidRDefault="00DE6D7A" w:rsidP="00E55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D7A" w:rsidRDefault="00DE6D7A" w:rsidP="00E558A4">
      <w:r>
        <w:separator/>
      </w:r>
    </w:p>
  </w:footnote>
  <w:footnote w:type="continuationSeparator" w:id="1">
    <w:p w:rsidR="00DE6D7A" w:rsidRDefault="00DE6D7A" w:rsidP="00E558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155D5"/>
    <w:multiLevelType w:val="hybridMultilevel"/>
    <w:tmpl w:val="AC085772"/>
    <w:lvl w:ilvl="0" w:tplc="4CE20F98">
      <w:start w:val="1"/>
      <w:numFmt w:val="japaneseCounting"/>
      <w:lvlText w:val="%1、"/>
      <w:lvlJc w:val="left"/>
      <w:pPr>
        <w:ind w:left="862" w:hanging="45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58A4"/>
    <w:rsid w:val="00004A6F"/>
    <w:rsid w:val="000174CF"/>
    <w:rsid w:val="00021A39"/>
    <w:rsid w:val="000359C9"/>
    <w:rsid w:val="00036979"/>
    <w:rsid w:val="00050FCB"/>
    <w:rsid w:val="0005544D"/>
    <w:rsid w:val="00065622"/>
    <w:rsid w:val="00076320"/>
    <w:rsid w:val="00085ADE"/>
    <w:rsid w:val="000A7CC3"/>
    <w:rsid w:val="000D061B"/>
    <w:rsid w:val="000D2739"/>
    <w:rsid w:val="000D637C"/>
    <w:rsid w:val="00115056"/>
    <w:rsid w:val="001347B0"/>
    <w:rsid w:val="001365A4"/>
    <w:rsid w:val="0014570B"/>
    <w:rsid w:val="00162589"/>
    <w:rsid w:val="00163435"/>
    <w:rsid w:val="00171D00"/>
    <w:rsid w:val="0017329A"/>
    <w:rsid w:val="001A3B3F"/>
    <w:rsid w:val="001A5A55"/>
    <w:rsid w:val="001B4648"/>
    <w:rsid w:val="001C4172"/>
    <w:rsid w:val="001C7C23"/>
    <w:rsid w:val="001D5050"/>
    <w:rsid w:val="001D7F5F"/>
    <w:rsid w:val="001E5AE1"/>
    <w:rsid w:val="001F509A"/>
    <w:rsid w:val="001F7F7D"/>
    <w:rsid w:val="002070BA"/>
    <w:rsid w:val="00207F5F"/>
    <w:rsid w:val="00241206"/>
    <w:rsid w:val="00244DF2"/>
    <w:rsid w:val="002623AD"/>
    <w:rsid w:val="0026259D"/>
    <w:rsid w:val="002810E1"/>
    <w:rsid w:val="002860FE"/>
    <w:rsid w:val="00287191"/>
    <w:rsid w:val="00290B34"/>
    <w:rsid w:val="002A7C99"/>
    <w:rsid w:val="002B2D0F"/>
    <w:rsid w:val="002B6D69"/>
    <w:rsid w:val="002B70BC"/>
    <w:rsid w:val="002D1CDC"/>
    <w:rsid w:val="002E184F"/>
    <w:rsid w:val="002E665A"/>
    <w:rsid w:val="002F352A"/>
    <w:rsid w:val="0030055F"/>
    <w:rsid w:val="00303677"/>
    <w:rsid w:val="00325DC2"/>
    <w:rsid w:val="003269C3"/>
    <w:rsid w:val="003357CF"/>
    <w:rsid w:val="00370386"/>
    <w:rsid w:val="00383155"/>
    <w:rsid w:val="003928D6"/>
    <w:rsid w:val="003958BC"/>
    <w:rsid w:val="003A12DF"/>
    <w:rsid w:val="003A1B08"/>
    <w:rsid w:val="003A71AB"/>
    <w:rsid w:val="003B5810"/>
    <w:rsid w:val="003C1A9B"/>
    <w:rsid w:val="003D421D"/>
    <w:rsid w:val="003D5BBD"/>
    <w:rsid w:val="003E51C1"/>
    <w:rsid w:val="003E74C4"/>
    <w:rsid w:val="00403CEE"/>
    <w:rsid w:val="00404A92"/>
    <w:rsid w:val="00404D53"/>
    <w:rsid w:val="00406ED6"/>
    <w:rsid w:val="00427AAB"/>
    <w:rsid w:val="00427C74"/>
    <w:rsid w:val="004310A6"/>
    <w:rsid w:val="004464DF"/>
    <w:rsid w:val="0044779B"/>
    <w:rsid w:val="00472F98"/>
    <w:rsid w:val="00481853"/>
    <w:rsid w:val="00484899"/>
    <w:rsid w:val="004A329D"/>
    <w:rsid w:val="004B45C3"/>
    <w:rsid w:val="004C6671"/>
    <w:rsid w:val="004D589C"/>
    <w:rsid w:val="004D6DE0"/>
    <w:rsid w:val="004E12A6"/>
    <w:rsid w:val="004F41D6"/>
    <w:rsid w:val="004F4564"/>
    <w:rsid w:val="004F7AC8"/>
    <w:rsid w:val="00500A2A"/>
    <w:rsid w:val="00512602"/>
    <w:rsid w:val="005311A5"/>
    <w:rsid w:val="00531FD3"/>
    <w:rsid w:val="00551102"/>
    <w:rsid w:val="00551618"/>
    <w:rsid w:val="00560D14"/>
    <w:rsid w:val="00574C83"/>
    <w:rsid w:val="00582754"/>
    <w:rsid w:val="0059030E"/>
    <w:rsid w:val="005B0176"/>
    <w:rsid w:val="005B11E9"/>
    <w:rsid w:val="005C4ED4"/>
    <w:rsid w:val="005D0651"/>
    <w:rsid w:val="005D083A"/>
    <w:rsid w:val="005D21FE"/>
    <w:rsid w:val="005E54A1"/>
    <w:rsid w:val="005E7257"/>
    <w:rsid w:val="005F28B6"/>
    <w:rsid w:val="005F79B2"/>
    <w:rsid w:val="006020A4"/>
    <w:rsid w:val="0060589D"/>
    <w:rsid w:val="00606C5F"/>
    <w:rsid w:val="00613C09"/>
    <w:rsid w:val="0061496E"/>
    <w:rsid w:val="00617F70"/>
    <w:rsid w:val="00623451"/>
    <w:rsid w:val="00623863"/>
    <w:rsid w:val="006270F9"/>
    <w:rsid w:val="00631769"/>
    <w:rsid w:val="00643DD6"/>
    <w:rsid w:val="006551AC"/>
    <w:rsid w:val="0065624B"/>
    <w:rsid w:val="00657182"/>
    <w:rsid w:val="00686C49"/>
    <w:rsid w:val="00687C9B"/>
    <w:rsid w:val="00697109"/>
    <w:rsid w:val="006A71D0"/>
    <w:rsid w:val="006B33B1"/>
    <w:rsid w:val="006B48C3"/>
    <w:rsid w:val="006D3A50"/>
    <w:rsid w:val="007023F4"/>
    <w:rsid w:val="00704FCC"/>
    <w:rsid w:val="00710283"/>
    <w:rsid w:val="00710CCE"/>
    <w:rsid w:val="00725154"/>
    <w:rsid w:val="007276B2"/>
    <w:rsid w:val="007315EE"/>
    <w:rsid w:val="00737480"/>
    <w:rsid w:val="00754F6F"/>
    <w:rsid w:val="0075703C"/>
    <w:rsid w:val="0076605A"/>
    <w:rsid w:val="00774689"/>
    <w:rsid w:val="0079020B"/>
    <w:rsid w:val="0079383D"/>
    <w:rsid w:val="007B2042"/>
    <w:rsid w:val="007D2E59"/>
    <w:rsid w:val="007D45E0"/>
    <w:rsid w:val="007D5ABC"/>
    <w:rsid w:val="007E411F"/>
    <w:rsid w:val="007E7327"/>
    <w:rsid w:val="00801230"/>
    <w:rsid w:val="00802D07"/>
    <w:rsid w:val="00807D2A"/>
    <w:rsid w:val="00817FFC"/>
    <w:rsid w:val="008245CC"/>
    <w:rsid w:val="0084133E"/>
    <w:rsid w:val="00875DF0"/>
    <w:rsid w:val="00876753"/>
    <w:rsid w:val="00886AEA"/>
    <w:rsid w:val="00886C4D"/>
    <w:rsid w:val="00890B39"/>
    <w:rsid w:val="00896A1B"/>
    <w:rsid w:val="008A6DC6"/>
    <w:rsid w:val="008B582B"/>
    <w:rsid w:val="008B7A59"/>
    <w:rsid w:val="008C1178"/>
    <w:rsid w:val="008D1C18"/>
    <w:rsid w:val="008D1D9E"/>
    <w:rsid w:val="008D4EDF"/>
    <w:rsid w:val="008E134C"/>
    <w:rsid w:val="008F6F79"/>
    <w:rsid w:val="0091363B"/>
    <w:rsid w:val="009266BF"/>
    <w:rsid w:val="00927AD4"/>
    <w:rsid w:val="009324F5"/>
    <w:rsid w:val="00937E2A"/>
    <w:rsid w:val="0094197A"/>
    <w:rsid w:val="00947422"/>
    <w:rsid w:val="00951D0A"/>
    <w:rsid w:val="00964B7D"/>
    <w:rsid w:val="00975D53"/>
    <w:rsid w:val="009907CE"/>
    <w:rsid w:val="00993DDF"/>
    <w:rsid w:val="009C0698"/>
    <w:rsid w:val="009C5475"/>
    <w:rsid w:val="009C6286"/>
    <w:rsid w:val="009D5D0C"/>
    <w:rsid w:val="009E6906"/>
    <w:rsid w:val="00A04A82"/>
    <w:rsid w:val="00A0594C"/>
    <w:rsid w:val="00A05FBC"/>
    <w:rsid w:val="00A13094"/>
    <w:rsid w:val="00A20849"/>
    <w:rsid w:val="00A230B1"/>
    <w:rsid w:val="00A24642"/>
    <w:rsid w:val="00A308D5"/>
    <w:rsid w:val="00A343E0"/>
    <w:rsid w:val="00A40447"/>
    <w:rsid w:val="00A66276"/>
    <w:rsid w:val="00A77AA7"/>
    <w:rsid w:val="00A8345F"/>
    <w:rsid w:val="00A84B74"/>
    <w:rsid w:val="00A85159"/>
    <w:rsid w:val="00A8593D"/>
    <w:rsid w:val="00AB007F"/>
    <w:rsid w:val="00AB6FAC"/>
    <w:rsid w:val="00AC0D75"/>
    <w:rsid w:val="00AD06A6"/>
    <w:rsid w:val="00AD4BA7"/>
    <w:rsid w:val="00AF4D6D"/>
    <w:rsid w:val="00AF7769"/>
    <w:rsid w:val="00B22704"/>
    <w:rsid w:val="00B74BAC"/>
    <w:rsid w:val="00B81ACE"/>
    <w:rsid w:val="00B84BA1"/>
    <w:rsid w:val="00B91905"/>
    <w:rsid w:val="00B92DF2"/>
    <w:rsid w:val="00B96816"/>
    <w:rsid w:val="00BA57DD"/>
    <w:rsid w:val="00BB3B34"/>
    <w:rsid w:val="00BD3078"/>
    <w:rsid w:val="00BF4F43"/>
    <w:rsid w:val="00C46DA2"/>
    <w:rsid w:val="00C633C9"/>
    <w:rsid w:val="00C67859"/>
    <w:rsid w:val="00C70AF8"/>
    <w:rsid w:val="00C73542"/>
    <w:rsid w:val="00C90CEE"/>
    <w:rsid w:val="00C93AED"/>
    <w:rsid w:val="00CB6B88"/>
    <w:rsid w:val="00CD5522"/>
    <w:rsid w:val="00CE6F0D"/>
    <w:rsid w:val="00CF77A5"/>
    <w:rsid w:val="00D072E1"/>
    <w:rsid w:val="00D1070D"/>
    <w:rsid w:val="00D14A2F"/>
    <w:rsid w:val="00D22751"/>
    <w:rsid w:val="00D33907"/>
    <w:rsid w:val="00D4168E"/>
    <w:rsid w:val="00D7385C"/>
    <w:rsid w:val="00D93740"/>
    <w:rsid w:val="00D93F0F"/>
    <w:rsid w:val="00DA21F4"/>
    <w:rsid w:val="00DA5CC8"/>
    <w:rsid w:val="00DB14BE"/>
    <w:rsid w:val="00DB2CCE"/>
    <w:rsid w:val="00DB3A3C"/>
    <w:rsid w:val="00DD3544"/>
    <w:rsid w:val="00DE6D7A"/>
    <w:rsid w:val="00DF4964"/>
    <w:rsid w:val="00E06009"/>
    <w:rsid w:val="00E0754C"/>
    <w:rsid w:val="00E152B3"/>
    <w:rsid w:val="00E17B9E"/>
    <w:rsid w:val="00E22B53"/>
    <w:rsid w:val="00E32921"/>
    <w:rsid w:val="00E558A4"/>
    <w:rsid w:val="00E57474"/>
    <w:rsid w:val="00E76FB8"/>
    <w:rsid w:val="00E8494A"/>
    <w:rsid w:val="00EC3BA1"/>
    <w:rsid w:val="00EC3F2E"/>
    <w:rsid w:val="00EC7B76"/>
    <w:rsid w:val="00ED06F6"/>
    <w:rsid w:val="00ED46AE"/>
    <w:rsid w:val="00EE0CDB"/>
    <w:rsid w:val="00EF63E2"/>
    <w:rsid w:val="00F04069"/>
    <w:rsid w:val="00F1175B"/>
    <w:rsid w:val="00F171B3"/>
    <w:rsid w:val="00F17B80"/>
    <w:rsid w:val="00F52F44"/>
    <w:rsid w:val="00F67D7F"/>
    <w:rsid w:val="00F84E80"/>
    <w:rsid w:val="00F92287"/>
    <w:rsid w:val="00FD3B2D"/>
    <w:rsid w:val="00FE0FF8"/>
    <w:rsid w:val="00FE7A9A"/>
    <w:rsid w:val="00FF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A4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5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58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58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5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7B7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7B76"/>
    <w:rPr>
      <w:rFonts w:ascii="Calibri" w:eastAsia="宋体" w:hAnsi="Calibri" w:cs="黑体"/>
      <w:sz w:val="18"/>
      <w:szCs w:val="18"/>
    </w:rPr>
  </w:style>
  <w:style w:type="paragraph" w:styleId="a6">
    <w:name w:val="Normal (Web)"/>
    <w:basedOn w:val="a"/>
    <w:uiPriority w:val="99"/>
    <w:unhideWhenUsed/>
    <w:rsid w:val="001D50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fault">
    <w:name w:val="Default"/>
    <w:rsid w:val="00B84BA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617F7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357</Words>
  <Characters>2037</Characters>
  <Application>Microsoft Office Word</Application>
  <DocSecurity>0</DocSecurity>
  <Lines>16</Lines>
  <Paragraphs>4</Paragraphs>
  <ScaleCrop>false</ScaleCrop>
  <Company>Microsoft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hfjj</dc:creator>
  <cp:lastModifiedBy>林娱庭</cp:lastModifiedBy>
  <cp:revision>15</cp:revision>
  <dcterms:created xsi:type="dcterms:W3CDTF">2017-11-03T07:38:00Z</dcterms:created>
  <dcterms:modified xsi:type="dcterms:W3CDTF">2017-11-15T01:42:00Z</dcterms:modified>
</cp:coreProperties>
</file>