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37" w:rsidRPr="007A39EE" w:rsidRDefault="00065037" w:rsidP="0006503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7A39EE">
        <w:rPr>
          <w:rFonts w:ascii="黑体" w:eastAsia="黑体" w:hAnsi="黑体" w:hint="eastAsia"/>
          <w:sz w:val="32"/>
          <w:szCs w:val="32"/>
        </w:rPr>
        <w:t>兴银基金固收周报（2017.10.30-2017.11.3）</w:t>
      </w:r>
    </w:p>
    <w:p w:rsidR="00065037" w:rsidRDefault="00065037" w:rsidP="0006503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3A1B08" w:rsidRDefault="0061496E" w:rsidP="00C43531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  <w:r w:rsidRPr="00956C33">
        <w:rPr>
          <w:rFonts w:hint="eastAsia"/>
          <w:b/>
          <w:szCs w:val="21"/>
        </w:rPr>
        <w:t>摘要：</w:t>
      </w:r>
      <w:r w:rsidR="00004A6F" w:rsidRPr="00956C33">
        <w:rPr>
          <w:rFonts w:hint="eastAsia"/>
          <w:b/>
          <w:szCs w:val="21"/>
        </w:rPr>
        <w:t>宏观方面：</w:t>
      </w:r>
      <w:r w:rsidR="00956C33" w:rsidRPr="00956C33">
        <w:rPr>
          <w:rFonts w:hint="eastAsia"/>
          <w:b/>
          <w:szCs w:val="21"/>
        </w:rPr>
        <w:t>国际方面，美国经济稳健增长，</w:t>
      </w:r>
      <w:r w:rsidR="00956C33" w:rsidRPr="00956C33">
        <w:rPr>
          <w:rFonts w:hint="eastAsia"/>
          <w:b/>
          <w:szCs w:val="21"/>
        </w:rPr>
        <w:t>12</w:t>
      </w:r>
      <w:r w:rsidR="00956C33" w:rsidRPr="00956C33">
        <w:rPr>
          <w:rFonts w:hint="eastAsia"/>
          <w:b/>
          <w:szCs w:val="21"/>
        </w:rPr>
        <w:t>月大概率加息；国内方面，</w:t>
      </w:r>
      <w:r w:rsidR="00956C33" w:rsidRPr="00956C33">
        <w:rPr>
          <w:rFonts w:hint="eastAsia"/>
          <w:b/>
          <w:szCs w:val="21"/>
        </w:rPr>
        <w:t>10</w:t>
      </w:r>
      <w:r w:rsidR="00956C33" w:rsidRPr="00956C33">
        <w:rPr>
          <w:rFonts w:hint="eastAsia"/>
          <w:b/>
          <w:szCs w:val="21"/>
        </w:rPr>
        <w:t>月</w:t>
      </w:r>
      <w:r w:rsidR="00956C33" w:rsidRPr="00956C33">
        <w:rPr>
          <w:rFonts w:hint="eastAsia"/>
          <w:b/>
          <w:szCs w:val="21"/>
        </w:rPr>
        <w:t>PMI</w:t>
      </w:r>
      <w:r w:rsidR="00956C33" w:rsidRPr="00956C33">
        <w:rPr>
          <w:rFonts w:hint="eastAsia"/>
          <w:b/>
          <w:szCs w:val="21"/>
        </w:rPr>
        <w:t>低于预期，但仍强，发电耗煤高位回落。</w:t>
      </w:r>
      <w:r w:rsidR="00956C33" w:rsidRPr="00956C33">
        <w:rPr>
          <w:rFonts w:asciiTheme="minorEastAsia" w:hAnsiTheme="minorEastAsia" w:hint="eastAsia"/>
          <w:b/>
          <w:szCs w:val="21"/>
        </w:rPr>
        <w:t>本周初适逢月末，资金面例行紧张，利率快速抬升，日内银行融出有限，跨月后资金面显著好转，利率亦快速下行，月初资金面宽松或将持续一段时间。近期建议，国内债市目前仍较为脆弱，投资者信心短期内难以恢复，建议谨慎。</w:t>
      </w:r>
    </w:p>
    <w:p w:rsidR="00D22EF3" w:rsidRPr="00956C33" w:rsidRDefault="00D22EF3" w:rsidP="00065037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</w:p>
    <w:p w:rsidR="00741C44" w:rsidRPr="00956C33" w:rsidRDefault="00956C33" w:rsidP="00741C44">
      <w:pPr>
        <w:spacing w:line="360" w:lineRule="auto"/>
        <w:ind w:firstLineChars="196" w:firstLine="413"/>
        <w:rPr>
          <w:b/>
          <w:szCs w:val="21"/>
        </w:rPr>
      </w:pPr>
      <w:r w:rsidRPr="00956C33">
        <w:rPr>
          <w:rFonts w:hint="eastAsia"/>
          <w:b/>
          <w:szCs w:val="21"/>
        </w:rPr>
        <w:t>一、国际方面，</w:t>
      </w:r>
      <w:r w:rsidR="00741C44" w:rsidRPr="00956C33">
        <w:rPr>
          <w:rFonts w:hint="eastAsia"/>
          <w:b/>
          <w:szCs w:val="21"/>
        </w:rPr>
        <w:t>美国经济稳健增长，</w:t>
      </w:r>
      <w:r w:rsidR="00741C44" w:rsidRPr="00956C33">
        <w:rPr>
          <w:rFonts w:hint="eastAsia"/>
          <w:b/>
          <w:szCs w:val="21"/>
        </w:rPr>
        <w:t>12</w:t>
      </w:r>
      <w:r w:rsidR="00741C44" w:rsidRPr="00956C33">
        <w:rPr>
          <w:rFonts w:hint="eastAsia"/>
          <w:b/>
          <w:szCs w:val="21"/>
        </w:rPr>
        <w:t>月大概率加息</w:t>
      </w:r>
      <w:r w:rsidR="00551102" w:rsidRPr="00956C33">
        <w:rPr>
          <w:rFonts w:hint="eastAsia"/>
          <w:b/>
          <w:szCs w:val="21"/>
        </w:rPr>
        <w:t>；</w:t>
      </w:r>
      <w:r w:rsidRPr="00956C33">
        <w:rPr>
          <w:rFonts w:hint="eastAsia"/>
          <w:b/>
          <w:szCs w:val="21"/>
        </w:rPr>
        <w:t>国内方面，</w:t>
      </w:r>
      <w:r w:rsidR="00741C44" w:rsidRPr="00956C33">
        <w:rPr>
          <w:rFonts w:hint="eastAsia"/>
          <w:b/>
          <w:szCs w:val="21"/>
        </w:rPr>
        <w:t>10</w:t>
      </w:r>
      <w:r w:rsidR="00741C44" w:rsidRPr="00956C33">
        <w:rPr>
          <w:rFonts w:hint="eastAsia"/>
          <w:b/>
          <w:szCs w:val="21"/>
        </w:rPr>
        <w:t>月</w:t>
      </w:r>
      <w:r w:rsidR="00741C44" w:rsidRPr="00956C33">
        <w:rPr>
          <w:rFonts w:hint="eastAsia"/>
          <w:b/>
          <w:szCs w:val="21"/>
        </w:rPr>
        <w:t>PMI</w:t>
      </w:r>
      <w:r w:rsidR="00741C44" w:rsidRPr="00956C33">
        <w:rPr>
          <w:rFonts w:hint="eastAsia"/>
          <w:b/>
          <w:szCs w:val="21"/>
        </w:rPr>
        <w:t>低于预期，但仍强，发电耗煤高位回落。</w:t>
      </w:r>
    </w:p>
    <w:p w:rsidR="00551102" w:rsidRPr="00956C33" w:rsidRDefault="00551102" w:rsidP="00956C33">
      <w:pPr>
        <w:spacing w:line="360" w:lineRule="auto"/>
        <w:ind w:firstLineChars="200" w:firstLine="422"/>
        <w:rPr>
          <w:b/>
          <w:szCs w:val="21"/>
        </w:rPr>
      </w:pPr>
      <w:r w:rsidRPr="00956C33">
        <w:rPr>
          <w:rFonts w:hint="eastAsia"/>
          <w:b/>
          <w:szCs w:val="21"/>
        </w:rPr>
        <w:t>国际方面，</w:t>
      </w:r>
      <w:r w:rsidR="00437371" w:rsidRPr="00956C33">
        <w:rPr>
          <w:rFonts w:hint="eastAsia"/>
          <w:b/>
          <w:szCs w:val="21"/>
        </w:rPr>
        <w:t>美国经济稳健增长，</w:t>
      </w:r>
      <w:r w:rsidR="00437371" w:rsidRPr="00956C33">
        <w:rPr>
          <w:rFonts w:hint="eastAsia"/>
          <w:b/>
          <w:szCs w:val="21"/>
        </w:rPr>
        <w:t>12</w:t>
      </w:r>
      <w:r w:rsidR="00437371" w:rsidRPr="00956C33">
        <w:rPr>
          <w:rFonts w:hint="eastAsia"/>
          <w:b/>
          <w:szCs w:val="21"/>
        </w:rPr>
        <w:t>月大概率加息。</w:t>
      </w:r>
    </w:p>
    <w:p w:rsidR="004F4564" w:rsidRPr="00956C33" w:rsidRDefault="00437371" w:rsidP="00F92287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  <w:r w:rsidRPr="00956C33">
        <w:rPr>
          <w:rFonts w:ascii="宋体" w:hAnsi="宋体" w:cstheme="minorBidi" w:hint="eastAsia"/>
          <w:szCs w:val="21"/>
        </w:rPr>
        <w:t>美国10月ISM制造业PMI指数58.7，低于预期59.5和前值60.8，但仍为2014年10月以来第三高点；</w:t>
      </w:r>
      <w:r w:rsidR="00773DB4" w:rsidRPr="00956C33">
        <w:rPr>
          <w:rFonts w:ascii="宋体" w:hAnsi="宋体" w:cstheme="minorBidi" w:hint="eastAsia"/>
          <w:szCs w:val="21"/>
        </w:rPr>
        <w:t>飓风影响消退，10月美国新增就业大幅回升，</w:t>
      </w:r>
      <w:r w:rsidRPr="00956C33">
        <w:rPr>
          <w:rFonts w:ascii="宋体" w:hAnsi="宋体" w:cstheme="minorBidi" w:hint="eastAsia"/>
          <w:szCs w:val="21"/>
        </w:rPr>
        <w:t>失业率4.1%</w:t>
      </w:r>
      <w:r w:rsidR="00773DB4" w:rsidRPr="00956C33">
        <w:rPr>
          <w:rFonts w:ascii="宋体" w:hAnsi="宋体" w:cstheme="minorBidi" w:hint="eastAsia"/>
          <w:szCs w:val="21"/>
        </w:rPr>
        <w:t>，</w:t>
      </w:r>
      <w:r w:rsidRPr="00956C33">
        <w:rPr>
          <w:rFonts w:ascii="宋体" w:hAnsi="宋体" w:cstheme="minorBidi" w:hint="eastAsia"/>
          <w:szCs w:val="21"/>
        </w:rPr>
        <w:t>创</w:t>
      </w:r>
      <w:r w:rsidR="00773DB4" w:rsidRPr="00956C33">
        <w:rPr>
          <w:rFonts w:ascii="宋体" w:hAnsi="宋体" w:cstheme="minorBidi" w:hint="eastAsia"/>
          <w:szCs w:val="21"/>
        </w:rPr>
        <w:t>2001</w:t>
      </w:r>
      <w:r w:rsidRPr="00956C33">
        <w:rPr>
          <w:rFonts w:ascii="宋体" w:hAnsi="宋体" w:cstheme="minorBidi" w:hint="eastAsia"/>
          <w:szCs w:val="21"/>
        </w:rPr>
        <w:t>年以来新低</w:t>
      </w:r>
      <w:r w:rsidR="00773DB4" w:rsidRPr="00956C33">
        <w:rPr>
          <w:rFonts w:ascii="宋体" w:hAnsi="宋体" w:cstheme="minorBidi" w:hint="eastAsia"/>
          <w:szCs w:val="21"/>
        </w:rPr>
        <w:t>；</w:t>
      </w:r>
      <w:r w:rsidRPr="00956C33">
        <w:rPr>
          <w:rFonts w:ascii="宋体" w:hAnsi="宋体" w:cstheme="minorBidi" w:hint="eastAsia"/>
          <w:szCs w:val="21"/>
        </w:rPr>
        <w:t>美联储</w:t>
      </w:r>
      <w:r w:rsidR="00773DB4" w:rsidRPr="00956C33">
        <w:rPr>
          <w:rFonts w:ascii="宋体" w:hAnsi="宋体" w:cstheme="minorBidi"/>
          <w:szCs w:val="21"/>
        </w:rPr>
        <w:t>11</w:t>
      </w:r>
      <w:r w:rsidRPr="00956C33">
        <w:rPr>
          <w:rFonts w:ascii="宋体" w:hAnsi="宋体" w:cstheme="minorBidi" w:hint="eastAsia"/>
          <w:szCs w:val="21"/>
        </w:rPr>
        <w:t>月议息会议宣布维持联邦基金利率在</w:t>
      </w:r>
      <w:r w:rsidR="00773DB4" w:rsidRPr="00956C33">
        <w:rPr>
          <w:rFonts w:ascii="宋体" w:hAnsi="宋体" w:cstheme="minorBidi"/>
          <w:szCs w:val="21"/>
        </w:rPr>
        <w:t>1%</w:t>
      </w:r>
      <w:r w:rsidR="00773DB4" w:rsidRPr="00956C33">
        <w:rPr>
          <w:rFonts w:ascii="宋体" w:hAnsi="宋体" w:cstheme="minorBidi" w:hint="eastAsia"/>
          <w:szCs w:val="21"/>
        </w:rPr>
        <w:t>~</w:t>
      </w:r>
      <w:r w:rsidRPr="00956C33">
        <w:rPr>
          <w:rFonts w:ascii="宋体" w:hAnsi="宋体" w:cstheme="minorBidi"/>
          <w:szCs w:val="21"/>
        </w:rPr>
        <w:t>1.25%</w:t>
      </w:r>
      <w:r w:rsidRPr="00956C33">
        <w:rPr>
          <w:rFonts w:ascii="宋体" w:hAnsi="宋体" w:cstheme="minorBidi" w:hint="eastAsia"/>
          <w:szCs w:val="21"/>
        </w:rPr>
        <w:t>不变，</w:t>
      </w:r>
      <w:r w:rsidR="00773DB4" w:rsidRPr="00956C33">
        <w:rPr>
          <w:rFonts w:ascii="宋体" w:hAnsi="宋体" w:cstheme="minorBidi" w:hint="eastAsia"/>
          <w:szCs w:val="21"/>
        </w:rPr>
        <w:t>对经济的表述从之前的</w:t>
      </w:r>
      <w:r w:rsidRPr="00956C33">
        <w:rPr>
          <w:rFonts w:ascii="宋体" w:hAnsi="宋体" w:cstheme="minorBidi" w:hint="eastAsia"/>
          <w:szCs w:val="21"/>
        </w:rPr>
        <w:t>温和增长</w:t>
      </w:r>
      <w:r w:rsidR="00773DB4" w:rsidRPr="00956C33">
        <w:rPr>
          <w:rFonts w:ascii="宋体" w:hAnsi="宋体" w:cstheme="minorBidi" w:hint="eastAsia"/>
          <w:szCs w:val="21"/>
        </w:rPr>
        <w:t>改为</w:t>
      </w:r>
      <w:r w:rsidRPr="00956C33">
        <w:rPr>
          <w:rFonts w:ascii="宋体" w:hAnsi="宋体" w:cstheme="minorBidi" w:hint="eastAsia"/>
          <w:szCs w:val="21"/>
        </w:rPr>
        <w:t>稳健增长</w:t>
      </w:r>
      <w:r w:rsidR="00773DB4" w:rsidRPr="00956C33">
        <w:rPr>
          <w:rFonts w:ascii="宋体" w:hAnsi="宋体" w:cstheme="minorBidi" w:hint="eastAsia"/>
          <w:szCs w:val="21"/>
        </w:rPr>
        <w:t>，</w:t>
      </w:r>
      <w:r w:rsidR="00773DB4" w:rsidRPr="00956C33">
        <w:rPr>
          <w:rFonts w:ascii="宋体" w:hAnsi="宋体" w:cstheme="minorBidi"/>
          <w:szCs w:val="21"/>
        </w:rPr>
        <w:t>12</w:t>
      </w:r>
      <w:r w:rsidRPr="00956C33">
        <w:rPr>
          <w:rFonts w:ascii="宋体" w:hAnsi="宋体" w:cstheme="minorBidi" w:hint="eastAsia"/>
          <w:szCs w:val="21"/>
        </w:rPr>
        <w:t>月大概率加息</w:t>
      </w:r>
      <w:r w:rsidR="00773DB4" w:rsidRPr="00956C33">
        <w:rPr>
          <w:rFonts w:ascii="宋体" w:hAnsi="宋体" w:cstheme="minorBidi" w:hint="eastAsia"/>
          <w:szCs w:val="21"/>
        </w:rPr>
        <w:t>。</w:t>
      </w:r>
    </w:p>
    <w:p w:rsidR="00551102" w:rsidRPr="00956C33" w:rsidRDefault="00551102" w:rsidP="006551AC">
      <w:pPr>
        <w:spacing w:line="360" w:lineRule="auto"/>
        <w:ind w:firstLineChars="196" w:firstLine="413"/>
        <w:rPr>
          <w:b/>
          <w:szCs w:val="21"/>
        </w:rPr>
      </w:pPr>
      <w:r w:rsidRPr="00956C33">
        <w:rPr>
          <w:rFonts w:hint="eastAsia"/>
          <w:b/>
          <w:szCs w:val="21"/>
        </w:rPr>
        <w:t>国内方面，</w:t>
      </w:r>
      <w:r w:rsidR="00741C44" w:rsidRPr="00956C33">
        <w:rPr>
          <w:rFonts w:hint="eastAsia"/>
          <w:b/>
          <w:szCs w:val="21"/>
        </w:rPr>
        <w:t>10</w:t>
      </w:r>
      <w:r w:rsidR="00741C44" w:rsidRPr="00956C33">
        <w:rPr>
          <w:rFonts w:hint="eastAsia"/>
          <w:b/>
          <w:szCs w:val="21"/>
        </w:rPr>
        <w:t>月</w:t>
      </w:r>
      <w:r w:rsidR="00741C44" w:rsidRPr="00956C33">
        <w:rPr>
          <w:rFonts w:hint="eastAsia"/>
          <w:b/>
          <w:szCs w:val="21"/>
        </w:rPr>
        <w:t>PMI</w:t>
      </w:r>
      <w:r w:rsidR="00741C44" w:rsidRPr="00956C33">
        <w:rPr>
          <w:rFonts w:hint="eastAsia"/>
          <w:b/>
          <w:szCs w:val="21"/>
        </w:rPr>
        <w:t>低于预期，但仍强，发电耗煤高位回落。</w:t>
      </w:r>
    </w:p>
    <w:p w:rsidR="00741C44" w:rsidRPr="00956C33" w:rsidRDefault="00741C44" w:rsidP="00741C44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  <w:r w:rsidRPr="00956C33">
        <w:rPr>
          <w:rFonts w:ascii="宋体" w:hAnsi="宋体" w:cstheme="minorBidi" w:hint="eastAsia"/>
          <w:szCs w:val="21"/>
        </w:rPr>
        <w:t>或受19大期间停产限产等扰动，10月官方制造业PMI51.6，低于预期52和前值52.4，但仍处于景气区间。发电耗煤量高位回落，10月发电耗煤同比增加16.5%，低于9月的24.3%。</w:t>
      </w:r>
    </w:p>
    <w:p w:rsidR="007D5ABC" w:rsidRPr="00956C33" w:rsidRDefault="007D5ABC" w:rsidP="006551AC">
      <w:pPr>
        <w:spacing w:line="360" w:lineRule="auto"/>
        <w:ind w:firstLineChars="200" w:firstLine="420"/>
        <w:rPr>
          <w:rFonts w:ascii="宋体" w:hAnsi="宋体" w:cstheme="minorBidi"/>
          <w:szCs w:val="21"/>
        </w:rPr>
      </w:pPr>
    </w:p>
    <w:p w:rsidR="00437371" w:rsidRPr="00956C33" w:rsidRDefault="0061496E" w:rsidP="00065037">
      <w:pPr>
        <w:spacing w:line="360" w:lineRule="auto"/>
        <w:ind w:firstLineChars="196" w:firstLine="413"/>
        <w:rPr>
          <w:rFonts w:asciiTheme="minorEastAsia" w:eastAsiaTheme="minorEastAsia" w:hAnsiTheme="minorEastAsia" w:cstheme="minorBidi"/>
          <w:b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二、</w:t>
      </w:r>
      <w:r w:rsidR="00437371" w:rsidRPr="00956C33">
        <w:rPr>
          <w:rFonts w:asciiTheme="minorEastAsia" w:hAnsiTheme="minorEastAsia" w:hint="eastAsia"/>
          <w:b/>
          <w:szCs w:val="21"/>
        </w:rPr>
        <w:t>资金面：本周初适逢月末，资金面例行紧张，利率快速抬升，日内银行融出有限，跨月后资金面显著好转，利率亦快速下行，月初资金面宽松或将持续一段时间。</w:t>
      </w:r>
    </w:p>
    <w:p w:rsidR="00437371" w:rsidRPr="00956C33" w:rsidRDefault="00437371" w:rsidP="00437371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回购：</w:t>
      </w:r>
      <w:r w:rsidRPr="00956C33">
        <w:rPr>
          <w:rFonts w:asciiTheme="minorEastAsia" w:hAnsiTheme="minorEastAsia" w:hint="eastAsia"/>
          <w:szCs w:val="21"/>
        </w:rPr>
        <w:t>本周央行公开市场净回笼1100亿元，公开市场操作利率无变动，另MLF到期超额续做1970亿元。截止3日，银行间各期限回购加权利率较上周显著下行，隔夜品种加权利率下行至2.57，成交量回升至近22000亿元，交易所GC001单周加权利率继续上行至4.46，日均成交量回升至近7800亿元。公开市场操作存量（回购+MLF）继续上行，银行间融资余额有所回升。本周初适逢月末，资金面例行紧张，利率快速抬升，日内银行融出有限，跨月后资金面显著好转，利率亦快速下行，月初资金面宽松或将持续一段时间。</w:t>
      </w:r>
    </w:p>
    <w:p w:rsidR="00437371" w:rsidRPr="00956C33" w:rsidRDefault="00437371" w:rsidP="00065037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央行公开市场操作情况</w:t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lastRenderedPageBreak/>
        <w:drawing>
          <wp:inline distT="0" distB="0" distL="0" distR="0">
            <wp:extent cx="5278120" cy="2825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31" w:rsidRDefault="00C43531" w:rsidP="00065037">
      <w:pPr>
        <w:spacing w:line="360" w:lineRule="auto"/>
        <w:rPr>
          <w:rFonts w:asciiTheme="minorEastAsia" w:hAnsiTheme="minorEastAsia"/>
          <w:szCs w:val="21"/>
        </w:rPr>
      </w:pPr>
    </w:p>
    <w:p w:rsidR="00437371" w:rsidRPr="00956C33" w:rsidRDefault="00437371" w:rsidP="00065037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近期银行间回购主要品种收益率较上周变动</w:t>
      </w:r>
    </w:p>
    <w:p w:rsidR="00437371" w:rsidRPr="00956C33" w:rsidRDefault="00437371" w:rsidP="00437371">
      <w:pPr>
        <w:spacing w:line="360" w:lineRule="auto"/>
        <w:rPr>
          <w:rFonts w:asciiTheme="minorEastAsia" w:hAnsiTheme="minorEastAsia"/>
          <w:color w:val="FF0000"/>
          <w:szCs w:val="21"/>
        </w:rPr>
      </w:pPr>
      <w:r w:rsidRPr="00956C33">
        <w:rPr>
          <w:noProof/>
          <w:szCs w:val="21"/>
        </w:rPr>
        <w:drawing>
          <wp:inline distT="0" distB="0" distL="0" distR="0">
            <wp:extent cx="4246880" cy="19069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color w:val="FF0000"/>
          <w:szCs w:val="21"/>
        </w:rPr>
      </w:pPr>
      <w:r w:rsidRPr="00956C33">
        <w:rPr>
          <w:noProof/>
          <w:szCs w:val="21"/>
        </w:rPr>
        <w:drawing>
          <wp:inline distT="0" distB="0" distL="0" distR="0">
            <wp:extent cx="5274310" cy="18935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31" w:rsidRDefault="00C43531" w:rsidP="00D22EF3">
      <w:pPr>
        <w:spacing w:line="360" w:lineRule="auto"/>
        <w:rPr>
          <w:rFonts w:asciiTheme="minorEastAsia" w:hAnsiTheme="minorEastAsia"/>
          <w:szCs w:val="21"/>
        </w:rPr>
      </w:pPr>
    </w:p>
    <w:p w:rsidR="00437371" w:rsidRPr="00956C33" w:rsidRDefault="00437371" w:rsidP="00D22EF3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交易所隔夜品种（GC001）利率变动情况</w:t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lastRenderedPageBreak/>
        <w:drawing>
          <wp:inline distT="0" distB="0" distL="0" distR="0">
            <wp:extent cx="5274310" cy="20542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71" w:rsidRPr="00956C33" w:rsidRDefault="00437371" w:rsidP="00437371">
      <w:pPr>
        <w:spacing w:line="360" w:lineRule="auto"/>
        <w:ind w:firstLineChars="200" w:firstLine="360"/>
        <w:rPr>
          <w:rFonts w:asciiTheme="minorEastAsia" w:hAnsiTheme="minorEastAsia"/>
          <w:sz w:val="18"/>
          <w:szCs w:val="18"/>
        </w:rPr>
      </w:pPr>
      <w:r w:rsidRPr="00956C33">
        <w:rPr>
          <w:rFonts w:asciiTheme="minorEastAsia" w:hAnsiTheme="minorEastAsia" w:hint="eastAsia"/>
          <w:sz w:val="18"/>
          <w:szCs w:val="18"/>
        </w:rPr>
        <w:t>备注：上图表示GC001每周加权利率的变动情况</w:t>
      </w:r>
    </w:p>
    <w:p w:rsidR="00437371" w:rsidRPr="00956C33" w:rsidRDefault="00437371" w:rsidP="00437371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同业存款：</w:t>
      </w:r>
      <w:r w:rsidRPr="00956C33">
        <w:rPr>
          <w:rFonts w:asciiTheme="minorEastAsia" w:hAnsiTheme="minorEastAsia" w:hint="eastAsia"/>
          <w:szCs w:val="21"/>
        </w:rPr>
        <w:t>本周同业存单发行量继续下行，降至不足3200亿元，发行主要集中在1个月及3个月品种，其中股份制银行1个月存单价格维持在4.00，周中有所上行后回落至4.00,3个月存单价格上行至4.60-4.63,6个月存单价格上行至4.62-4.65。同业存款方面，3个月以上存款价格较上周有所上行。</w:t>
      </w:r>
    </w:p>
    <w:p w:rsidR="00437371" w:rsidRPr="00956C33" w:rsidRDefault="00437371" w:rsidP="00D22EF3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同业价格分布</w:t>
      </w:r>
    </w:p>
    <w:p w:rsidR="00437371" w:rsidRPr="00956C33" w:rsidRDefault="00437371" w:rsidP="00D22EF3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drawing>
          <wp:inline distT="0" distB="0" distL="0" distR="0">
            <wp:extent cx="4849495" cy="15252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ABC" w:rsidRPr="00956C33" w:rsidRDefault="007D5ABC" w:rsidP="0076605A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:rsidR="00437371" w:rsidRPr="00956C33" w:rsidRDefault="0061496E" w:rsidP="00065037">
      <w:pPr>
        <w:spacing w:line="360" w:lineRule="auto"/>
        <w:ind w:firstLineChars="196" w:firstLine="413"/>
        <w:rPr>
          <w:rFonts w:asciiTheme="minorEastAsia" w:eastAsiaTheme="minorEastAsia" w:hAnsiTheme="minorEastAsia" w:cstheme="minorBidi"/>
          <w:b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三、</w:t>
      </w:r>
      <w:r w:rsidR="00437371" w:rsidRPr="00956C33">
        <w:rPr>
          <w:rFonts w:asciiTheme="minorEastAsia" w:hAnsiTheme="minorEastAsia" w:hint="eastAsia"/>
          <w:b/>
          <w:szCs w:val="21"/>
        </w:rPr>
        <w:t>现券：本周周初国债期货暴跌，利率债收益率大幅上行，止损盘汹涌而出，后伴随MLF询量以及PMI低于预期，二级市场情绪有所好转，但整体转暖的迹象尚未显现，机构仍谨慎为主，下阶段需继续关注基本面变动及月初公布的宏观数据，海外市场近期动向亦值得关注。</w:t>
      </w:r>
    </w:p>
    <w:p w:rsidR="00437371" w:rsidRPr="00956C33" w:rsidRDefault="00437371" w:rsidP="00065037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现券一级市场发行情况统计</w:t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lastRenderedPageBreak/>
        <w:drawing>
          <wp:inline distT="0" distB="0" distL="0" distR="0">
            <wp:extent cx="5153025" cy="224917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37" w:rsidRDefault="00065037" w:rsidP="00437371">
      <w:pPr>
        <w:spacing w:line="360" w:lineRule="auto"/>
        <w:rPr>
          <w:rFonts w:asciiTheme="minorEastAsia" w:hAnsiTheme="minorEastAsia"/>
          <w:szCs w:val="21"/>
        </w:rPr>
      </w:pPr>
    </w:p>
    <w:p w:rsidR="00437371" w:rsidRPr="00956C33" w:rsidRDefault="00437371" w:rsidP="00065037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利率债一级市场发行情况</w:t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drawing>
          <wp:inline distT="0" distB="0" distL="0" distR="0">
            <wp:extent cx="5278120" cy="30118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37" w:rsidRDefault="00065037" w:rsidP="00437371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</w:p>
    <w:p w:rsidR="00437371" w:rsidRPr="00956C33" w:rsidRDefault="00437371" w:rsidP="00437371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利率债方面：</w:t>
      </w:r>
      <w:r w:rsidRPr="00956C33">
        <w:rPr>
          <w:rFonts w:asciiTheme="minorEastAsia" w:hAnsiTheme="minorEastAsia" w:hint="eastAsia"/>
          <w:szCs w:val="21"/>
        </w:rPr>
        <w:t>一级市场方面，利率债招标结果逐步转好，需求尚可。二级市场方面，利率债收益率继续大幅上行。具体来看，10年期国债活跃品种收益率上行约7bp，10年期金债收益率上行约10bp。本周周初国债期货暴跌，利率债收益率大幅上行，止损盘汹涌而出，后伴随MLF询量以及PMI低于预期，二级市场情绪有所好转，但整体转暖的迹象尚未显现，机构仍谨慎为主，下阶段需继续关注基本面变动及月初公布的宏观数据，海外市场近期动向亦值得关注。</w:t>
      </w:r>
    </w:p>
    <w:p w:rsidR="00437371" w:rsidRPr="00956C33" w:rsidRDefault="00437371" w:rsidP="00D22EF3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利率债活跃品种收益率</w:t>
      </w:r>
    </w:p>
    <w:p w:rsidR="00437371" w:rsidRPr="00956C33" w:rsidRDefault="00437371" w:rsidP="00065037">
      <w:pPr>
        <w:spacing w:line="360" w:lineRule="auto"/>
        <w:ind w:firstLineChars="67" w:firstLine="141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lastRenderedPageBreak/>
        <w:drawing>
          <wp:inline distT="0" distB="0" distL="0" distR="0">
            <wp:extent cx="4286250" cy="24180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31" w:rsidRDefault="00C43531" w:rsidP="00C43531">
      <w:pPr>
        <w:spacing w:line="360" w:lineRule="auto"/>
        <w:rPr>
          <w:rFonts w:asciiTheme="minorEastAsia" w:hAnsiTheme="minorEastAsia"/>
          <w:szCs w:val="21"/>
        </w:rPr>
      </w:pPr>
    </w:p>
    <w:p w:rsidR="00437371" w:rsidRPr="00956C33" w:rsidRDefault="00437371" w:rsidP="00C43531">
      <w:pPr>
        <w:spacing w:line="360" w:lineRule="auto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利率债关键期限收益率曲线</w:t>
      </w:r>
    </w:p>
    <w:p w:rsidR="00437371" w:rsidRPr="00956C33" w:rsidRDefault="00437371" w:rsidP="0043737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956C33">
        <w:rPr>
          <w:noProof/>
          <w:szCs w:val="21"/>
        </w:rPr>
        <w:drawing>
          <wp:inline distT="0" distB="0" distL="0" distR="0">
            <wp:extent cx="5087620" cy="15341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37" w:rsidRDefault="00065037" w:rsidP="00065037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</w:p>
    <w:p w:rsidR="00065037" w:rsidRDefault="00437371" w:rsidP="00065037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b/>
          <w:szCs w:val="21"/>
        </w:rPr>
        <w:t>信用债方面：</w:t>
      </w:r>
      <w:r w:rsidRPr="00956C33">
        <w:rPr>
          <w:rFonts w:asciiTheme="minorEastAsia" w:hAnsiTheme="minorEastAsia" w:hint="eastAsia"/>
          <w:szCs w:val="21"/>
        </w:rPr>
        <w:t>二级市场方面，信用债收益率普遍上行。具体来看，短融成交以3个月内AA+以上品种为主，中票成交以3年内AAA品种为主，企业债成交以5年内AA+以上品种为主。短融方面，90天以上品种收益率小幅上行，上行幅度在10bp以内；中票、企业债方面，收益率继续上行，上行幅度在10bp以内。</w:t>
      </w:r>
    </w:p>
    <w:p w:rsidR="00065037" w:rsidRPr="00065037" w:rsidRDefault="00065037" w:rsidP="0006503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65037" w:rsidRPr="00065037" w:rsidRDefault="00065037" w:rsidP="00065037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065037">
        <w:rPr>
          <w:rFonts w:asciiTheme="minorEastAsia" w:hAnsiTheme="minorEastAsia" w:hint="eastAsia"/>
          <w:b/>
          <w:szCs w:val="21"/>
        </w:rPr>
        <w:t>四、公司观点</w:t>
      </w:r>
    </w:p>
    <w:bookmarkEnd w:id="0"/>
    <w:bookmarkEnd w:id="1"/>
    <w:p w:rsidR="00A66BAE" w:rsidRDefault="00A66BAE" w:rsidP="005F28B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56C33">
        <w:rPr>
          <w:rFonts w:asciiTheme="minorEastAsia" w:hAnsiTheme="minorEastAsia" w:hint="eastAsia"/>
          <w:szCs w:val="21"/>
        </w:rPr>
        <w:t>或受十九大期间停产限产影响，10月PMI低于预期，</w:t>
      </w:r>
      <w:r w:rsidR="00956C33" w:rsidRPr="00956C33">
        <w:rPr>
          <w:rFonts w:asciiTheme="minorEastAsia" w:hAnsiTheme="minorEastAsia" w:hint="eastAsia"/>
          <w:szCs w:val="21"/>
        </w:rPr>
        <w:t>但仍强，表明经济基本面持续向好。海外方面，美国经济稳健增长，12月大概率加息；鲍威尔被任命为下一届美联储主席，市场普遍认为会延续耶伦的货币政策。</w:t>
      </w:r>
      <w:bookmarkStart w:id="2" w:name="_Hlk498119820"/>
      <w:r w:rsidR="00956C33" w:rsidRPr="00956C33">
        <w:rPr>
          <w:rFonts w:asciiTheme="minorEastAsia" w:hAnsiTheme="minorEastAsia" w:hint="eastAsia"/>
          <w:szCs w:val="21"/>
        </w:rPr>
        <w:t>近期建议，国内债市目前仍较为脆弱，投资者信心短期内难以恢复，建议谨慎。</w:t>
      </w:r>
      <w:bookmarkStart w:id="3" w:name="_GoBack"/>
      <w:bookmarkEnd w:id="3"/>
    </w:p>
    <w:p w:rsidR="00C43531" w:rsidRDefault="00C43531" w:rsidP="00C43531">
      <w:pPr>
        <w:widowControl/>
        <w:ind w:firstLineChars="200"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C43531" w:rsidRDefault="00C43531" w:rsidP="00C43531">
      <w:pPr>
        <w:widowControl/>
        <w:ind w:firstLineChars="200"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C43531" w:rsidRDefault="00C43531" w:rsidP="00C43531">
      <w:pPr>
        <w:widowControl/>
        <w:ind w:firstLineChars="200"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C43531" w:rsidRDefault="00C43531" w:rsidP="00C43531">
      <w:pPr>
        <w:widowControl/>
        <w:ind w:firstLineChars="200"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C43531" w:rsidRDefault="00C43531" w:rsidP="00C43531">
      <w:pPr>
        <w:widowControl/>
        <w:ind w:firstLineChars="200"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rPr>
          <w:rFonts w:hint="eastAsia"/>
        </w:rPr>
        <w:t xml:space="preserve"> </w:t>
      </w:r>
    </w:p>
    <w:p w:rsidR="00C43531" w:rsidRDefault="00C43531" w:rsidP="00C43531">
      <w:pPr>
        <w:widowControl/>
        <w:jc w:val="left"/>
      </w:pPr>
    </w:p>
    <w:p w:rsidR="00C43531" w:rsidRPr="00C43531" w:rsidRDefault="00C43531" w:rsidP="00C43531">
      <w:pPr>
        <w:widowControl/>
        <w:spacing w:line="360" w:lineRule="auto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 xml:space="preserve">    本报告中的信息均来源于已公开的资料，我公司对这些信息的准确性及完整性不作任何保证。 </w:t>
      </w:r>
    </w:p>
    <w:p w:rsidR="00C43531" w:rsidRPr="00C43531" w:rsidRDefault="00C43531" w:rsidP="00C43531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5B0176" w:rsidRPr="007A39EE" w:rsidRDefault="00C43531" w:rsidP="007A39EE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  <w:bookmarkEnd w:id="2"/>
    </w:p>
    <w:sectPr w:rsidR="005B0176" w:rsidRPr="007A39EE" w:rsidSect="00F8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8A" w:rsidRDefault="00CA768A" w:rsidP="00E558A4">
      <w:r>
        <w:separator/>
      </w:r>
    </w:p>
  </w:endnote>
  <w:endnote w:type="continuationSeparator" w:id="1">
    <w:p w:rsidR="00CA768A" w:rsidRDefault="00CA768A" w:rsidP="00E5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8A" w:rsidRDefault="00CA768A" w:rsidP="00E558A4">
      <w:r>
        <w:separator/>
      </w:r>
    </w:p>
  </w:footnote>
  <w:footnote w:type="continuationSeparator" w:id="1">
    <w:p w:rsidR="00CA768A" w:rsidRDefault="00CA768A" w:rsidP="00E55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155D5"/>
    <w:multiLevelType w:val="hybridMultilevel"/>
    <w:tmpl w:val="AC085772"/>
    <w:lvl w:ilvl="0" w:tplc="4CE20F98">
      <w:start w:val="1"/>
      <w:numFmt w:val="japaneseCounting"/>
      <w:lvlText w:val="%1、"/>
      <w:lvlJc w:val="left"/>
      <w:pPr>
        <w:ind w:left="862" w:hanging="45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A4"/>
    <w:rsid w:val="00004A6F"/>
    <w:rsid w:val="000174CF"/>
    <w:rsid w:val="00021A39"/>
    <w:rsid w:val="000359C9"/>
    <w:rsid w:val="00036979"/>
    <w:rsid w:val="00050FCB"/>
    <w:rsid w:val="0005544D"/>
    <w:rsid w:val="00065037"/>
    <w:rsid w:val="00065622"/>
    <w:rsid w:val="00076320"/>
    <w:rsid w:val="00085ADE"/>
    <w:rsid w:val="000A7CC3"/>
    <w:rsid w:val="000D061B"/>
    <w:rsid w:val="000D2739"/>
    <w:rsid w:val="000D637C"/>
    <w:rsid w:val="00115056"/>
    <w:rsid w:val="001347B0"/>
    <w:rsid w:val="001365A4"/>
    <w:rsid w:val="0014570B"/>
    <w:rsid w:val="00162589"/>
    <w:rsid w:val="00163435"/>
    <w:rsid w:val="00171D00"/>
    <w:rsid w:val="0017329A"/>
    <w:rsid w:val="001A3B3F"/>
    <w:rsid w:val="001A5A55"/>
    <w:rsid w:val="001B4648"/>
    <w:rsid w:val="001C4172"/>
    <w:rsid w:val="001C7C23"/>
    <w:rsid w:val="001D5050"/>
    <w:rsid w:val="001D7F5F"/>
    <w:rsid w:val="001E5AE1"/>
    <w:rsid w:val="001F509A"/>
    <w:rsid w:val="001F7F7D"/>
    <w:rsid w:val="002070BA"/>
    <w:rsid w:val="00207F5F"/>
    <w:rsid w:val="00241206"/>
    <w:rsid w:val="00244DF2"/>
    <w:rsid w:val="002623AD"/>
    <w:rsid w:val="0026259D"/>
    <w:rsid w:val="002810E1"/>
    <w:rsid w:val="002860FE"/>
    <w:rsid w:val="00287191"/>
    <w:rsid w:val="00290B34"/>
    <w:rsid w:val="002A7C99"/>
    <w:rsid w:val="002B6D69"/>
    <w:rsid w:val="002B70BC"/>
    <w:rsid w:val="002D1CDC"/>
    <w:rsid w:val="002D7794"/>
    <w:rsid w:val="002E184F"/>
    <w:rsid w:val="002E665A"/>
    <w:rsid w:val="002F352A"/>
    <w:rsid w:val="0030055F"/>
    <w:rsid w:val="00303677"/>
    <w:rsid w:val="00325DC2"/>
    <w:rsid w:val="003269C3"/>
    <w:rsid w:val="003357CF"/>
    <w:rsid w:val="00370386"/>
    <w:rsid w:val="00383155"/>
    <w:rsid w:val="003928D6"/>
    <w:rsid w:val="003958BC"/>
    <w:rsid w:val="003A12DF"/>
    <w:rsid w:val="003A1B08"/>
    <w:rsid w:val="003B5810"/>
    <w:rsid w:val="003C1A9B"/>
    <w:rsid w:val="003D421D"/>
    <w:rsid w:val="003D5BBD"/>
    <w:rsid w:val="003E51C1"/>
    <w:rsid w:val="003E74C4"/>
    <w:rsid w:val="00403CEE"/>
    <w:rsid w:val="00404A92"/>
    <w:rsid w:val="00404D53"/>
    <w:rsid w:val="00406ED6"/>
    <w:rsid w:val="00427AAB"/>
    <w:rsid w:val="00427C74"/>
    <w:rsid w:val="004310A6"/>
    <w:rsid w:val="00437371"/>
    <w:rsid w:val="004464DF"/>
    <w:rsid w:val="0046762A"/>
    <w:rsid w:val="00472F98"/>
    <w:rsid w:val="00481853"/>
    <w:rsid w:val="00484899"/>
    <w:rsid w:val="004A329D"/>
    <w:rsid w:val="004B45C3"/>
    <w:rsid w:val="004C6671"/>
    <w:rsid w:val="004D589C"/>
    <w:rsid w:val="004D6DE0"/>
    <w:rsid w:val="004E12A6"/>
    <w:rsid w:val="004F2D7A"/>
    <w:rsid w:val="004F41D6"/>
    <w:rsid w:val="004F4564"/>
    <w:rsid w:val="004F7AC8"/>
    <w:rsid w:val="00500A2A"/>
    <w:rsid w:val="00512602"/>
    <w:rsid w:val="005311A5"/>
    <w:rsid w:val="00551102"/>
    <w:rsid w:val="00551618"/>
    <w:rsid w:val="00560D14"/>
    <w:rsid w:val="00574C83"/>
    <w:rsid w:val="00582754"/>
    <w:rsid w:val="0059030E"/>
    <w:rsid w:val="005B0176"/>
    <w:rsid w:val="005B11E9"/>
    <w:rsid w:val="005C4ED4"/>
    <w:rsid w:val="005D0651"/>
    <w:rsid w:val="005D083A"/>
    <w:rsid w:val="005D21FE"/>
    <w:rsid w:val="005E54A1"/>
    <w:rsid w:val="005E7257"/>
    <w:rsid w:val="005F28B6"/>
    <w:rsid w:val="005F79B2"/>
    <w:rsid w:val="006020A4"/>
    <w:rsid w:val="0060589D"/>
    <w:rsid w:val="00606C5F"/>
    <w:rsid w:val="00613C09"/>
    <w:rsid w:val="0061496E"/>
    <w:rsid w:val="00617F70"/>
    <w:rsid w:val="00623451"/>
    <w:rsid w:val="00623863"/>
    <w:rsid w:val="006270F9"/>
    <w:rsid w:val="00631769"/>
    <w:rsid w:val="00643DD6"/>
    <w:rsid w:val="006551AC"/>
    <w:rsid w:val="0065624B"/>
    <w:rsid w:val="00657182"/>
    <w:rsid w:val="00686C49"/>
    <w:rsid w:val="00687C9B"/>
    <w:rsid w:val="00697109"/>
    <w:rsid w:val="006A71D0"/>
    <w:rsid w:val="006B33B1"/>
    <w:rsid w:val="006D3A50"/>
    <w:rsid w:val="007023F4"/>
    <w:rsid w:val="00704FCC"/>
    <w:rsid w:val="00710283"/>
    <w:rsid w:val="00710B4E"/>
    <w:rsid w:val="00710CCE"/>
    <w:rsid w:val="00725154"/>
    <w:rsid w:val="007276B2"/>
    <w:rsid w:val="007315EE"/>
    <w:rsid w:val="00737480"/>
    <w:rsid w:val="00741C44"/>
    <w:rsid w:val="00754F6F"/>
    <w:rsid w:val="0075703C"/>
    <w:rsid w:val="0076605A"/>
    <w:rsid w:val="00773DB4"/>
    <w:rsid w:val="00774689"/>
    <w:rsid w:val="0079020B"/>
    <w:rsid w:val="0079383D"/>
    <w:rsid w:val="007A39EE"/>
    <w:rsid w:val="007B2042"/>
    <w:rsid w:val="007D2E59"/>
    <w:rsid w:val="007D45E0"/>
    <w:rsid w:val="007D5ABC"/>
    <w:rsid w:val="007E411F"/>
    <w:rsid w:val="007E7327"/>
    <w:rsid w:val="00801230"/>
    <w:rsid w:val="00807D2A"/>
    <w:rsid w:val="00817FFC"/>
    <w:rsid w:val="008245CC"/>
    <w:rsid w:val="0084133E"/>
    <w:rsid w:val="00875DF0"/>
    <w:rsid w:val="00876753"/>
    <w:rsid w:val="00886AEA"/>
    <w:rsid w:val="00890B39"/>
    <w:rsid w:val="00891004"/>
    <w:rsid w:val="00896A1B"/>
    <w:rsid w:val="008A6DC6"/>
    <w:rsid w:val="008B582B"/>
    <w:rsid w:val="008B7A59"/>
    <w:rsid w:val="008C1178"/>
    <w:rsid w:val="008D1C18"/>
    <w:rsid w:val="008D1D9E"/>
    <w:rsid w:val="008D4EDF"/>
    <w:rsid w:val="008E134C"/>
    <w:rsid w:val="008F6F79"/>
    <w:rsid w:val="0091363B"/>
    <w:rsid w:val="009266BF"/>
    <w:rsid w:val="00927AD4"/>
    <w:rsid w:val="009324F5"/>
    <w:rsid w:val="00937E2A"/>
    <w:rsid w:val="0094197A"/>
    <w:rsid w:val="00947422"/>
    <w:rsid w:val="00951D0A"/>
    <w:rsid w:val="00956C33"/>
    <w:rsid w:val="00964B7D"/>
    <w:rsid w:val="00975D53"/>
    <w:rsid w:val="009907CE"/>
    <w:rsid w:val="00993DDF"/>
    <w:rsid w:val="009C0698"/>
    <w:rsid w:val="009C5475"/>
    <w:rsid w:val="009C6286"/>
    <w:rsid w:val="009D5D0C"/>
    <w:rsid w:val="009E6906"/>
    <w:rsid w:val="00A04A82"/>
    <w:rsid w:val="00A0594C"/>
    <w:rsid w:val="00A05FBC"/>
    <w:rsid w:val="00A13094"/>
    <w:rsid w:val="00A20849"/>
    <w:rsid w:val="00A230B1"/>
    <w:rsid w:val="00A24642"/>
    <w:rsid w:val="00A308D5"/>
    <w:rsid w:val="00A343E0"/>
    <w:rsid w:val="00A40447"/>
    <w:rsid w:val="00A66276"/>
    <w:rsid w:val="00A66BAE"/>
    <w:rsid w:val="00A77AA7"/>
    <w:rsid w:val="00A8345F"/>
    <w:rsid w:val="00A84B74"/>
    <w:rsid w:val="00A85159"/>
    <w:rsid w:val="00A8593D"/>
    <w:rsid w:val="00AB007F"/>
    <w:rsid w:val="00AB6FAC"/>
    <w:rsid w:val="00AC0D75"/>
    <w:rsid w:val="00AD06A6"/>
    <w:rsid w:val="00AD4BA7"/>
    <w:rsid w:val="00AF4D6D"/>
    <w:rsid w:val="00AF7769"/>
    <w:rsid w:val="00B22704"/>
    <w:rsid w:val="00B74BAC"/>
    <w:rsid w:val="00B81ACE"/>
    <w:rsid w:val="00B84BA1"/>
    <w:rsid w:val="00B91905"/>
    <w:rsid w:val="00B92DF2"/>
    <w:rsid w:val="00B96816"/>
    <w:rsid w:val="00BA57DD"/>
    <w:rsid w:val="00BB3B34"/>
    <w:rsid w:val="00BD3078"/>
    <w:rsid w:val="00BF4F43"/>
    <w:rsid w:val="00C02C09"/>
    <w:rsid w:val="00C43531"/>
    <w:rsid w:val="00C46DA2"/>
    <w:rsid w:val="00C633C9"/>
    <w:rsid w:val="00C67859"/>
    <w:rsid w:val="00C70AF8"/>
    <w:rsid w:val="00C73542"/>
    <w:rsid w:val="00C90CEE"/>
    <w:rsid w:val="00C93AED"/>
    <w:rsid w:val="00CA768A"/>
    <w:rsid w:val="00CB6B88"/>
    <w:rsid w:val="00CD5522"/>
    <w:rsid w:val="00CE6F0D"/>
    <w:rsid w:val="00CF6991"/>
    <w:rsid w:val="00CF77A5"/>
    <w:rsid w:val="00D072E1"/>
    <w:rsid w:val="00D1070D"/>
    <w:rsid w:val="00D14A2F"/>
    <w:rsid w:val="00D22751"/>
    <w:rsid w:val="00D22EF3"/>
    <w:rsid w:val="00D33907"/>
    <w:rsid w:val="00D4168E"/>
    <w:rsid w:val="00D7385C"/>
    <w:rsid w:val="00D93740"/>
    <w:rsid w:val="00D93F0F"/>
    <w:rsid w:val="00DA21F4"/>
    <w:rsid w:val="00DA5CC8"/>
    <w:rsid w:val="00DB14BE"/>
    <w:rsid w:val="00DB2CCE"/>
    <w:rsid w:val="00DB3A3C"/>
    <w:rsid w:val="00DC63F4"/>
    <w:rsid w:val="00DD3544"/>
    <w:rsid w:val="00DF4964"/>
    <w:rsid w:val="00E06009"/>
    <w:rsid w:val="00E0754C"/>
    <w:rsid w:val="00E152B3"/>
    <w:rsid w:val="00E17B9E"/>
    <w:rsid w:val="00E22B53"/>
    <w:rsid w:val="00E32921"/>
    <w:rsid w:val="00E558A4"/>
    <w:rsid w:val="00E57474"/>
    <w:rsid w:val="00E76FB8"/>
    <w:rsid w:val="00E8494A"/>
    <w:rsid w:val="00EC3BA1"/>
    <w:rsid w:val="00EC3F2E"/>
    <w:rsid w:val="00EC7B76"/>
    <w:rsid w:val="00ED06F6"/>
    <w:rsid w:val="00ED46AE"/>
    <w:rsid w:val="00EE0CDB"/>
    <w:rsid w:val="00EF63E2"/>
    <w:rsid w:val="00F04069"/>
    <w:rsid w:val="00F1175B"/>
    <w:rsid w:val="00F171B3"/>
    <w:rsid w:val="00F17B80"/>
    <w:rsid w:val="00F52F44"/>
    <w:rsid w:val="00F67D7F"/>
    <w:rsid w:val="00F84E80"/>
    <w:rsid w:val="00F92287"/>
    <w:rsid w:val="00FB69F0"/>
    <w:rsid w:val="00FC1F1E"/>
    <w:rsid w:val="00FD3B2D"/>
    <w:rsid w:val="00FE0FF8"/>
    <w:rsid w:val="00FE7A9A"/>
    <w:rsid w:val="00FF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B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B76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rsid w:val="001D5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B84BA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17F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24</cp:revision>
  <dcterms:created xsi:type="dcterms:W3CDTF">2017-11-03T07:38:00Z</dcterms:created>
  <dcterms:modified xsi:type="dcterms:W3CDTF">2017-11-15T01:11:00Z</dcterms:modified>
</cp:coreProperties>
</file>